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0F7D7" w14:textId="77777777" w:rsidR="005D1344" w:rsidRDefault="005D1344" w:rsidP="002B4423">
      <w:pPr>
        <w:pStyle w:val="Default"/>
        <w:spacing w:before="120" w:after="120"/>
        <w:jc w:val="both"/>
        <w:rPr>
          <w:rFonts w:asciiTheme="minorHAnsi" w:hAnsiTheme="minorHAnsi" w:cstheme="minorHAnsi"/>
          <w:b/>
          <w:sz w:val="22"/>
          <w:szCs w:val="22"/>
        </w:rPr>
      </w:pPr>
    </w:p>
    <w:p w14:paraId="111429E2" w14:textId="26FFDB68" w:rsidR="002B4423" w:rsidRPr="00AF3683" w:rsidRDefault="002B4423" w:rsidP="002B4423">
      <w:pPr>
        <w:pStyle w:val="Default"/>
        <w:spacing w:before="120" w:after="120"/>
        <w:jc w:val="both"/>
        <w:rPr>
          <w:rFonts w:asciiTheme="minorHAnsi" w:hAnsiTheme="minorHAnsi" w:cstheme="minorHAnsi"/>
          <w:b/>
          <w:sz w:val="22"/>
          <w:szCs w:val="22"/>
        </w:rPr>
      </w:pPr>
      <w:r w:rsidRPr="00BF697D">
        <w:rPr>
          <w:rFonts w:asciiTheme="minorHAnsi" w:hAnsiTheme="minorHAnsi" w:cstheme="minorHAnsi"/>
          <w:bCs/>
          <w:sz w:val="22"/>
          <w:szCs w:val="22"/>
        </w:rPr>
        <w:t>Kód výzvy:</w:t>
      </w:r>
      <w:r>
        <w:rPr>
          <w:rFonts w:asciiTheme="minorHAnsi" w:hAnsiTheme="minorHAnsi" w:cstheme="minorHAnsi"/>
          <w:b/>
          <w:sz w:val="22"/>
          <w:szCs w:val="22"/>
        </w:rPr>
        <w:tab/>
      </w:r>
      <w:r w:rsidRPr="007A6FFE">
        <w:rPr>
          <w:rFonts w:asciiTheme="minorHAnsi" w:hAnsiTheme="minorHAnsi" w:cstheme="minorHAnsi"/>
          <w:b/>
          <w:sz w:val="22"/>
          <w:szCs w:val="22"/>
        </w:rPr>
        <w:t>PSK-UV-00</w:t>
      </w:r>
      <w:r w:rsidR="00E75044" w:rsidRPr="008633D9">
        <w:rPr>
          <w:rFonts w:asciiTheme="minorHAnsi" w:hAnsiTheme="minorHAnsi" w:cstheme="minorHAnsi"/>
          <w:b/>
          <w:color w:val="auto"/>
          <w:sz w:val="22"/>
          <w:szCs w:val="22"/>
        </w:rPr>
        <w:t>9</w:t>
      </w:r>
      <w:r w:rsidRPr="007A6FFE">
        <w:rPr>
          <w:rFonts w:asciiTheme="minorHAnsi" w:hAnsiTheme="minorHAnsi" w:cstheme="minorHAnsi"/>
          <w:b/>
          <w:sz w:val="22"/>
          <w:szCs w:val="22"/>
        </w:rPr>
        <w:t>-2024-DV-EFRR</w:t>
      </w:r>
    </w:p>
    <w:p w14:paraId="4D976FE8" w14:textId="2AB59C94" w:rsidR="002B4423" w:rsidRDefault="002B4423" w:rsidP="002B4423">
      <w:pPr>
        <w:ind w:left="1410" w:hanging="1410"/>
        <w:rPr>
          <w:rFonts w:eastAsiaTheme="majorEastAsia" w:cstheme="minorHAnsi"/>
          <w:b/>
          <w:bCs/>
          <w:color w:val="2E74B5" w:themeColor="accent1" w:themeShade="BF"/>
          <w:sz w:val="32"/>
          <w:szCs w:val="32"/>
        </w:rPr>
      </w:pPr>
      <w:r w:rsidRPr="00BF697D">
        <w:rPr>
          <w:rFonts w:cstheme="minorHAnsi"/>
          <w:bCs/>
        </w:rPr>
        <w:t>Názov výzvy:</w:t>
      </w:r>
      <w:r>
        <w:rPr>
          <w:rFonts w:cstheme="minorHAnsi"/>
          <w:b/>
        </w:rPr>
        <w:tab/>
      </w:r>
      <w:r w:rsidRPr="00B273E5">
        <w:rPr>
          <w:rFonts w:cstheme="minorHAnsi"/>
          <w:b/>
        </w:rPr>
        <w:t>Výzva pre zlepšenie podmienok bývania v ob</w:t>
      </w:r>
      <w:r w:rsidR="001F2C66">
        <w:rPr>
          <w:rFonts w:cstheme="minorHAnsi"/>
          <w:b/>
        </w:rPr>
        <w:t>ciach z Atlasu rómskych komunít</w:t>
      </w:r>
    </w:p>
    <w:p w14:paraId="36C6D82E" w14:textId="77777777" w:rsidR="00C00F15" w:rsidRPr="00C00F15" w:rsidRDefault="00C00F15" w:rsidP="00C00F15">
      <w:pPr>
        <w:tabs>
          <w:tab w:val="left" w:pos="5580"/>
        </w:tabs>
        <w:spacing w:after="0"/>
        <w:jc w:val="center"/>
        <w:rPr>
          <w:rFonts w:eastAsiaTheme="majorEastAsia" w:cstheme="minorHAnsi"/>
          <w:b/>
          <w:bCs/>
          <w:color w:val="2E74B5" w:themeColor="accent1" w:themeShade="BF"/>
          <w:sz w:val="20"/>
          <w:szCs w:val="32"/>
        </w:rPr>
      </w:pPr>
    </w:p>
    <w:p w14:paraId="45AD08F3" w14:textId="20E61BD7" w:rsidR="002B4423" w:rsidRPr="00BF697D" w:rsidRDefault="008E7BFA" w:rsidP="001F2C66">
      <w:pPr>
        <w:tabs>
          <w:tab w:val="left" w:pos="5580"/>
        </w:tabs>
        <w:spacing w:after="0"/>
        <w:jc w:val="center"/>
        <w:rPr>
          <w:rFonts w:eastAsiaTheme="majorEastAsia" w:cstheme="minorHAnsi"/>
          <w:b/>
          <w:bCs/>
          <w:color w:val="2E74B5" w:themeColor="accent1" w:themeShade="BF"/>
          <w:sz w:val="36"/>
          <w:szCs w:val="36"/>
        </w:rPr>
      </w:pPr>
      <w:r w:rsidRPr="00BF697D">
        <w:rPr>
          <w:rFonts w:eastAsiaTheme="majorEastAsia" w:cstheme="minorHAnsi"/>
          <w:b/>
          <w:bCs/>
          <w:color w:val="2E74B5" w:themeColor="accent1" w:themeShade="BF"/>
          <w:sz w:val="36"/>
          <w:szCs w:val="36"/>
        </w:rPr>
        <w:t xml:space="preserve">Zásady </w:t>
      </w:r>
      <w:r w:rsidR="00C00F15" w:rsidRPr="00BF697D">
        <w:rPr>
          <w:rFonts w:eastAsiaTheme="majorEastAsia" w:cstheme="minorHAnsi"/>
          <w:b/>
          <w:bCs/>
          <w:color w:val="2E74B5" w:themeColor="accent1" w:themeShade="BF"/>
          <w:sz w:val="36"/>
          <w:szCs w:val="36"/>
        </w:rPr>
        <w:t xml:space="preserve">a podmienky </w:t>
      </w:r>
      <w:r w:rsidRPr="00BF697D">
        <w:rPr>
          <w:rFonts w:eastAsiaTheme="majorEastAsia" w:cstheme="minorHAnsi"/>
          <w:b/>
          <w:bCs/>
          <w:color w:val="2E74B5" w:themeColor="accent1" w:themeShade="BF"/>
          <w:sz w:val="36"/>
          <w:szCs w:val="36"/>
        </w:rPr>
        <w:t>sociálneho bývania</w:t>
      </w:r>
    </w:p>
    <w:p w14:paraId="580CC055" w14:textId="77777777" w:rsidR="008E7BFA" w:rsidRDefault="008E7BFA" w:rsidP="00C00F15">
      <w:pPr>
        <w:tabs>
          <w:tab w:val="left" w:pos="5580"/>
        </w:tabs>
        <w:spacing w:after="0"/>
        <w:jc w:val="center"/>
        <w:rPr>
          <w:rFonts w:eastAsiaTheme="majorEastAsia" w:cstheme="minorHAnsi"/>
          <w:b/>
          <w:bCs/>
          <w:color w:val="2E74B5" w:themeColor="accent1" w:themeShade="BF"/>
          <w:sz w:val="24"/>
          <w:szCs w:val="32"/>
        </w:rPr>
      </w:pPr>
    </w:p>
    <w:p w14:paraId="0E2637BB" w14:textId="77777777" w:rsidR="00F26C59" w:rsidRPr="00C00F15" w:rsidRDefault="00F26C59" w:rsidP="00C00F15">
      <w:pPr>
        <w:tabs>
          <w:tab w:val="left" w:pos="5580"/>
        </w:tabs>
        <w:spacing w:after="0"/>
        <w:jc w:val="center"/>
        <w:rPr>
          <w:rFonts w:eastAsiaTheme="majorEastAsia" w:cstheme="minorHAnsi"/>
          <w:b/>
          <w:bCs/>
          <w:color w:val="2E74B5" w:themeColor="accent1" w:themeShade="BF"/>
          <w:sz w:val="24"/>
          <w:szCs w:val="32"/>
        </w:rPr>
      </w:pPr>
    </w:p>
    <w:p w14:paraId="1A227C4B" w14:textId="30125862" w:rsidR="003C6A10" w:rsidRPr="00BF697D" w:rsidRDefault="003C6A10" w:rsidP="003C6A10">
      <w:pPr>
        <w:pStyle w:val="Odsekzoznamu"/>
        <w:numPr>
          <w:ilvl w:val="0"/>
          <w:numId w:val="12"/>
        </w:numPr>
        <w:tabs>
          <w:tab w:val="left" w:pos="5580"/>
        </w:tabs>
        <w:rPr>
          <w:rFonts w:eastAsiaTheme="majorEastAsia" w:cstheme="minorHAnsi"/>
          <w:b/>
          <w:bCs/>
          <w:color w:val="2E74B5" w:themeColor="accent1" w:themeShade="BF"/>
          <w:sz w:val="32"/>
          <w:szCs w:val="32"/>
          <w:u w:val="single"/>
        </w:rPr>
      </w:pPr>
      <w:r w:rsidRPr="00BF697D">
        <w:rPr>
          <w:rFonts w:eastAsiaTheme="majorEastAsia" w:cstheme="minorHAnsi"/>
          <w:b/>
          <w:bCs/>
          <w:color w:val="2E74B5" w:themeColor="accent1" w:themeShade="BF"/>
          <w:sz w:val="32"/>
          <w:szCs w:val="32"/>
          <w:u w:val="single"/>
        </w:rPr>
        <w:t>Základné pojmy a definície</w:t>
      </w:r>
    </w:p>
    <w:p w14:paraId="540BD065" w14:textId="4DBD5DCA" w:rsidR="006A643B" w:rsidRPr="003D66E7" w:rsidRDefault="006A643B" w:rsidP="00EA246D">
      <w:pPr>
        <w:tabs>
          <w:tab w:val="left" w:pos="1695"/>
        </w:tabs>
        <w:jc w:val="both"/>
        <w:rPr>
          <w:rFonts w:eastAsiaTheme="majorEastAsia" w:cstheme="minorHAnsi"/>
          <w:bCs/>
          <w:szCs w:val="24"/>
        </w:rPr>
      </w:pPr>
      <w:r w:rsidRPr="003D66E7">
        <w:rPr>
          <w:rFonts w:cstheme="minorHAnsi"/>
          <w:b/>
        </w:rPr>
        <w:t>Oprávnený žiadateľ</w:t>
      </w:r>
      <w:r w:rsidRPr="003D66E7">
        <w:rPr>
          <w:rFonts w:cstheme="minorHAnsi"/>
        </w:rPr>
        <w:t xml:space="preserve"> - obec s prítomnosťou MRK</w:t>
      </w:r>
      <w:r>
        <w:rPr>
          <w:rFonts w:cstheme="minorHAnsi"/>
        </w:rPr>
        <w:t>, ktorá je</w:t>
      </w:r>
      <w:r w:rsidRPr="003D66E7">
        <w:rPr>
          <w:rFonts w:cstheme="minorHAnsi"/>
        </w:rPr>
        <w:t xml:space="preserve"> uvedená v ARK 2019 (prípadne neskorších aktualizácií)</w:t>
      </w:r>
      <w:r>
        <w:rPr>
          <w:rFonts w:cstheme="minorHAnsi"/>
        </w:rPr>
        <w:t xml:space="preserve">. </w:t>
      </w:r>
      <w:r>
        <w:rPr>
          <w:rFonts w:eastAsiaTheme="majorEastAsia" w:cstheme="minorHAnsi"/>
          <w:bCs/>
          <w:szCs w:val="24"/>
        </w:rPr>
        <w:t xml:space="preserve">Ukončenie realizácie hlavných aktivít projektu nesmie nastať </w:t>
      </w:r>
      <w:r w:rsidRPr="003D66E7">
        <w:rPr>
          <w:rFonts w:eastAsiaTheme="majorEastAsia" w:cstheme="minorHAnsi"/>
          <w:bCs/>
          <w:szCs w:val="24"/>
        </w:rPr>
        <w:t xml:space="preserve">pred podaním žiadosti o poskytnutie </w:t>
      </w:r>
      <w:r w:rsidR="00034398">
        <w:rPr>
          <w:rFonts w:eastAsiaTheme="majorEastAsia" w:cstheme="minorHAnsi"/>
          <w:bCs/>
          <w:szCs w:val="24"/>
        </w:rPr>
        <w:t> </w:t>
      </w:r>
      <w:r w:rsidRPr="003D66E7">
        <w:rPr>
          <w:rFonts w:eastAsiaTheme="majorEastAsia" w:cstheme="minorHAnsi"/>
          <w:bCs/>
          <w:szCs w:val="24"/>
        </w:rPr>
        <w:t>NFP</w:t>
      </w:r>
      <w:r w:rsidR="00EA246D">
        <w:rPr>
          <w:rFonts w:eastAsiaTheme="majorEastAsia" w:cstheme="minorHAnsi"/>
          <w:bCs/>
          <w:szCs w:val="24"/>
        </w:rPr>
        <w:t>.</w:t>
      </w:r>
      <w:r w:rsidR="00034398">
        <w:rPr>
          <w:rFonts w:eastAsiaTheme="majorEastAsia" w:cstheme="minorHAnsi"/>
          <w:bCs/>
          <w:szCs w:val="24"/>
        </w:rPr>
        <w:t xml:space="preserve"> Realizácia </w:t>
      </w:r>
      <w:r w:rsidR="00DC4AF0">
        <w:rPr>
          <w:rFonts w:eastAsiaTheme="majorEastAsia" w:cstheme="minorHAnsi"/>
          <w:bCs/>
          <w:szCs w:val="24"/>
        </w:rPr>
        <w:t xml:space="preserve">aktivít </w:t>
      </w:r>
      <w:r w:rsidR="00034398">
        <w:rPr>
          <w:rFonts w:eastAsiaTheme="majorEastAsia" w:cstheme="minorHAnsi"/>
          <w:bCs/>
          <w:szCs w:val="24"/>
        </w:rPr>
        <w:t xml:space="preserve">projektu musí byť </w:t>
      </w:r>
      <w:r w:rsidR="00EA142C">
        <w:rPr>
          <w:rFonts w:eastAsiaTheme="majorEastAsia" w:cstheme="minorHAnsi"/>
          <w:bCs/>
          <w:szCs w:val="24"/>
        </w:rPr>
        <w:t>ukončen</w:t>
      </w:r>
      <w:r w:rsidR="00034398">
        <w:rPr>
          <w:rFonts w:eastAsiaTheme="majorEastAsia" w:cstheme="minorHAnsi"/>
          <w:bCs/>
          <w:szCs w:val="24"/>
        </w:rPr>
        <w:t>á</w:t>
      </w:r>
      <w:r w:rsidR="00EA142C">
        <w:rPr>
          <w:rFonts w:eastAsiaTheme="majorEastAsia" w:cstheme="minorHAnsi"/>
          <w:bCs/>
          <w:szCs w:val="24"/>
        </w:rPr>
        <w:t xml:space="preserve"> </w:t>
      </w:r>
      <w:r w:rsidR="00EA142C" w:rsidRPr="00EA142C">
        <w:rPr>
          <w:rFonts w:eastAsiaTheme="majorEastAsia" w:cstheme="minorHAnsi"/>
          <w:bCs/>
          <w:szCs w:val="24"/>
        </w:rPr>
        <w:t xml:space="preserve">najneskôr do </w:t>
      </w:r>
      <w:r w:rsidR="00EA142C" w:rsidRPr="00EA246D">
        <w:rPr>
          <w:rFonts w:cstheme="minorHAnsi"/>
          <w:bCs/>
        </w:rPr>
        <w:t>31.12.2029.</w:t>
      </w:r>
    </w:p>
    <w:p w14:paraId="6446845D" w14:textId="77777777" w:rsidR="006A643B" w:rsidRPr="003D66E7" w:rsidRDefault="006A643B" w:rsidP="00AD012F">
      <w:pPr>
        <w:spacing w:after="0"/>
        <w:jc w:val="both"/>
        <w:rPr>
          <w:rFonts w:cstheme="minorHAnsi"/>
        </w:rPr>
      </w:pPr>
      <w:r w:rsidRPr="003D66E7">
        <w:rPr>
          <w:rFonts w:cstheme="minorHAnsi"/>
          <w:b/>
        </w:rPr>
        <w:t>Formy obstarania bývania</w:t>
      </w:r>
      <w:r w:rsidRPr="003D66E7">
        <w:rPr>
          <w:rFonts w:cstheme="minorHAnsi"/>
        </w:rPr>
        <w:t>:</w:t>
      </w:r>
    </w:p>
    <w:p w14:paraId="0050BD2E" w14:textId="77777777" w:rsidR="006A643B" w:rsidRPr="003D66E7" w:rsidRDefault="006A643B" w:rsidP="00AD012F">
      <w:pPr>
        <w:pStyle w:val="Odsekzoznamu"/>
        <w:numPr>
          <w:ilvl w:val="0"/>
          <w:numId w:val="5"/>
        </w:numPr>
        <w:spacing w:line="240" w:lineRule="auto"/>
        <w:jc w:val="both"/>
        <w:rPr>
          <w:rFonts w:cstheme="minorHAnsi"/>
        </w:rPr>
      </w:pPr>
      <w:r w:rsidRPr="003D66E7">
        <w:rPr>
          <w:rFonts w:cstheme="minorHAnsi"/>
          <w:b/>
        </w:rPr>
        <w:t>výstavbou</w:t>
      </w:r>
      <w:r w:rsidRPr="003D66E7">
        <w:rPr>
          <w:rFonts w:cstheme="minorHAnsi"/>
        </w:rPr>
        <w:t xml:space="preserve"> nájomného bytu v bytovom dome, alebo v rodinnom dome</w:t>
      </w:r>
      <w:r>
        <w:rPr>
          <w:rFonts w:cstheme="minorHAnsi"/>
        </w:rPr>
        <w:t>;</w:t>
      </w:r>
    </w:p>
    <w:p w14:paraId="34763593" w14:textId="77777777" w:rsidR="006A643B" w:rsidRPr="003D66E7" w:rsidRDefault="006A643B" w:rsidP="00AD012F">
      <w:pPr>
        <w:pStyle w:val="Odsekzoznamu"/>
        <w:numPr>
          <w:ilvl w:val="0"/>
          <w:numId w:val="5"/>
        </w:numPr>
        <w:spacing w:line="256" w:lineRule="auto"/>
        <w:jc w:val="both"/>
        <w:rPr>
          <w:rFonts w:cstheme="minorHAnsi"/>
        </w:rPr>
      </w:pPr>
      <w:r w:rsidRPr="003D66E7">
        <w:rPr>
          <w:rFonts w:cstheme="minorHAnsi"/>
        </w:rPr>
        <w:t xml:space="preserve">výstavbou nájomného bytu získaného </w:t>
      </w:r>
      <w:r w:rsidRPr="003D66E7">
        <w:rPr>
          <w:rFonts w:cstheme="minorHAnsi"/>
          <w:b/>
        </w:rPr>
        <w:t>nadstavbou alebo prístavbou</w:t>
      </w:r>
      <w:r w:rsidRPr="003D66E7">
        <w:rPr>
          <w:rFonts w:cstheme="minorHAnsi"/>
        </w:rPr>
        <w:t xml:space="preserve"> bytovej budovy alebo nadstavbou alebo prístavbou nebytovej budovy</w:t>
      </w:r>
      <w:r>
        <w:rPr>
          <w:rFonts w:cstheme="minorHAnsi"/>
        </w:rPr>
        <w:t>;</w:t>
      </w:r>
      <w:r w:rsidRPr="003D66E7">
        <w:rPr>
          <w:rFonts w:cstheme="minorHAnsi"/>
        </w:rPr>
        <w:t xml:space="preserve"> </w:t>
      </w:r>
    </w:p>
    <w:p w14:paraId="515E1076" w14:textId="77777777" w:rsidR="004A1B42" w:rsidRDefault="006A643B" w:rsidP="00AD012F">
      <w:pPr>
        <w:pStyle w:val="Odsekzoznamu"/>
        <w:numPr>
          <w:ilvl w:val="0"/>
          <w:numId w:val="5"/>
        </w:numPr>
        <w:spacing w:line="256" w:lineRule="auto"/>
        <w:jc w:val="both"/>
        <w:rPr>
          <w:rFonts w:cstheme="minorHAnsi"/>
        </w:rPr>
      </w:pPr>
      <w:r w:rsidRPr="003D66E7">
        <w:rPr>
          <w:rFonts w:cstheme="minorHAnsi"/>
          <w:b/>
        </w:rPr>
        <w:t>stavebnou úpravou</w:t>
      </w:r>
      <w:r w:rsidRPr="003D66E7">
        <w:rPr>
          <w:rFonts w:cstheme="minorHAnsi"/>
        </w:rPr>
        <w:t xml:space="preserve"> budovy, ak po vykonaní stavebnej úpravy vznikne byt v bytovom dome</w:t>
      </w:r>
      <w:r w:rsidR="004A1B42">
        <w:rPr>
          <w:rFonts w:cstheme="minorHAnsi"/>
        </w:rPr>
        <w:t>;</w:t>
      </w:r>
    </w:p>
    <w:p w14:paraId="35F21428" w14:textId="4FBB049F" w:rsidR="006A643B" w:rsidRPr="00800E13" w:rsidRDefault="004A1B42" w:rsidP="00AD012F">
      <w:pPr>
        <w:pStyle w:val="Odsekzoznamu"/>
        <w:numPr>
          <w:ilvl w:val="0"/>
          <w:numId w:val="5"/>
        </w:numPr>
        <w:spacing w:line="256" w:lineRule="auto"/>
        <w:jc w:val="both"/>
        <w:rPr>
          <w:rFonts w:cstheme="minorHAnsi"/>
        </w:rPr>
      </w:pPr>
      <w:r>
        <w:rPr>
          <w:rFonts w:cstheme="minorHAnsi"/>
          <w:b/>
        </w:rPr>
        <w:t>rekonštrukciou nájomného bytu v bytovom dome, alebo v rodinnom dome</w:t>
      </w:r>
      <w:r w:rsidR="006A643B">
        <w:rPr>
          <w:rFonts w:cstheme="minorHAnsi"/>
        </w:rPr>
        <w:t>.</w:t>
      </w:r>
    </w:p>
    <w:p w14:paraId="22FC1CE6" w14:textId="77777777" w:rsidR="006A643B" w:rsidRPr="003D66E7" w:rsidRDefault="006A643B" w:rsidP="00AD012F">
      <w:pPr>
        <w:jc w:val="both"/>
        <w:rPr>
          <w:rFonts w:cstheme="minorHAnsi"/>
        </w:rPr>
      </w:pPr>
      <w:r w:rsidRPr="003D66E7">
        <w:rPr>
          <w:rFonts w:cstheme="minorHAnsi"/>
          <w:b/>
        </w:rPr>
        <w:t>Forma financovania</w:t>
      </w:r>
      <w:r w:rsidRPr="003D66E7">
        <w:rPr>
          <w:rFonts w:cstheme="minorHAnsi"/>
        </w:rPr>
        <w:t xml:space="preserve">: </w:t>
      </w:r>
      <w:r>
        <w:rPr>
          <w:rFonts w:cstheme="minorHAnsi"/>
        </w:rPr>
        <w:t>nenávratný finančný príspevok („NFP“) bude poskytnutý vo výške 100 % z celkových oprávnených výdavkov</w:t>
      </w:r>
    </w:p>
    <w:p w14:paraId="3CED5947" w14:textId="585E4B4E" w:rsidR="006A643B" w:rsidRPr="003D66E7" w:rsidRDefault="006A643B" w:rsidP="00AD012F">
      <w:pPr>
        <w:jc w:val="both"/>
        <w:rPr>
          <w:rFonts w:cstheme="minorHAnsi"/>
        </w:rPr>
      </w:pPr>
      <w:r w:rsidRPr="003D66E7">
        <w:rPr>
          <w:rFonts w:cstheme="minorHAnsi"/>
          <w:b/>
        </w:rPr>
        <w:t>Definícia bytového domu</w:t>
      </w:r>
      <w:r w:rsidRPr="003D66E7">
        <w:rPr>
          <w:rFonts w:cstheme="minorHAnsi"/>
        </w:rPr>
        <w:t xml:space="preserve">: </w:t>
      </w:r>
      <w:r>
        <w:rPr>
          <w:rFonts w:cstheme="minorHAnsi"/>
        </w:rPr>
        <w:t>b</w:t>
      </w:r>
      <w:r w:rsidRPr="003D66E7">
        <w:rPr>
          <w:rFonts w:cstheme="minorHAnsi"/>
        </w:rPr>
        <w:t>ytový dom je budova určená na bývanie pozostávajúca zo štyroch a z viacerých bytov so spoločným hlavným vstupom z verejnej komunikácie</w:t>
      </w:r>
      <w:ins w:id="0" w:author="Hajdin Miloš" w:date="2025-04-27T18:11:00Z" w16du:dateUtc="2025-04-27T16:11:00Z">
        <w:r w:rsidR="00CB05C4">
          <w:rPr>
            <w:rStyle w:val="Odkaznapoznmkupodiarou"/>
            <w:rFonts w:cstheme="minorHAnsi"/>
          </w:rPr>
          <w:footnoteReference w:id="1"/>
        </w:r>
      </w:ins>
      <w:r w:rsidRPr="003D66E7">
        <w:rPr>
          <w:rFonts w:cstheme="minorHAnsi"/>
        </w:rPr>
        <w:t xml:space="preserve">. </w:t>
      </w:r>
    </w:p>
    <w:p w14:paraId="7886DBB2" w14:textId="77777777" w:rsidR="006A643B" w:rsidRPr="003D66E7" w:rsidRDefault="006A643B" w:rsidP="00AD012F">
      <w:pPr>
        <w:jc w:val="both"/>
        <w:rPr>
          <w:rFonts w:cstheme="minorHAnsi"/>
        </w:rPr>
      </w:pPr>
      <w:r w:rsidRPr="003D66E7">
        <w:rPr>
          <w:rFonts w:cstheme="minorHAnsi"/>
          <w:b/>
        </w:rPr>
        <w:t>Definícia rodinného domu</w:t>
      </w:r>
      <w:r w:rsidRPr="003D66E7">
        <w:rPr>
          <w:rFonts w:cstheme="minorHAnsi"/>
        </w:rPr>
        <w:t xml:space="preserve">: rodinný dom </w:t>
      </w:r>
      <w:r w:rsidRPr="003D66E7">
        <w:rPr>
          <w:rFonts w:cstheme="minorHAnsi"/>
          <w:shd w:val="clear" w:color="auto" w:fill="FFFFFF"/>
        </w:rPr>
        <w:t>je budova určená predovšetkým na rodinné bývanie so samostatným vstupom z verejnej komunikácie, ktorá má najviac tri byty, dve nadzemné podlažia a podkrovie.</w:t>
      </w:r>
      <w:r>
        <w:rPr>
          <w:rFonts w:cstheme="minorHAnsi"/>
          <w:shd w:val="clear" w:color="auto" w:fill="FFFFFF"/>
        </w:rPr>
        <w:t xml:space="preserve"> </w:t>
      </w:r>
      <w:r w:rsidRPr="003D66E7">
        <w:rPr>
          <w:rFonts w:cstheme="minorHAnsi"/>
        </w:rPr>
        <w:t xml:space="preserve">Zároveň pre účely </w:t>
      </w:r>
      <w:r>
        <w:rPr>
          <w:rFonts w:cstheme="minorHAnsi"/>
        </w:rPr>
        <w:t xml:space="preserve">pripravovanej </w:t>
      </w:r>
      <w:r w:rsidRPr="003D66E7">
        <w:rPr>
          <w:rFonts w:cstheme="minorHAnsi"/>
        </w:rPr>
        <w:t>výzvy musí mať rodinný dom najmenej dva byty.</w:t>
      </w:r>
    </w:p>
    <w:p w14:paraId="5917FBD7" w14:textId="42A950FC" w:rsidR="008E7BFA" w:rsidRPr="003D66E7" w:rsidRDefault="00FC1989" w:rsidP="00BF697D">
      <w:pPr>
        <w:jc w:val="both"/>
        <w:rPr>
          <w:rFonts w:cstheme="minorHAnsi"/>
        </w:rPr>
      </w:pPr>
      <w:r w:rsidRPr="003D66E7">
        <w:rPr>
          <w:rFonts w:cstheme="minorHAnsi"/>
          <w:b/>
        </w:rPr>
        <w:t>Definícia bytu:</w:t>
      </w:r>
      <w:r w:rsidR="008E7BFA" w:rsidRPr="003D66E7">
        <w:rPr>
          <w:rFonts w:cstheme="minorHAnsi"/>
        </w:rPr>
        <w:t xml:space="preserve"> </w:t>
      </w:r>
      <w:r w:rsidRPr="003D66E7">
        <w:rPr>
          <w:rFonts w:cstheme="minorHAnsi"/>
          <w:shd w:val="clear" w:color="auto" w:fill="FFFFFF"/>
        </w:rPr>
        <w:t xml:space="preserve">Byt je obytná miestnosť alebo súbor obytných miestností s príslušenstvom usporiadaný do funkčného celku s vlastným uzavretím, určený na trvalé bývanie, </w:t>
      </w:r>
      <w:r w:rsidR="008E7BFA" w:rsidRPr="003D66E7">
        <w:rPr>
          <w:rFonts w:cstheme="minorHAnsi"/>
        </w:rPr>
        <w:t>povrchové úpravy sú v konečnej úprave</w:t>
      </w:r>
      <w:r w:rsidRPr="003D66E7">
        <w:rPr>
          <w:rFonts w:cstheme="minorHAnsi"/>
        </w:rPr>
        <w:t xml:space="preserve">, obsahuje </w:t>
      </w:r>
      <w:r w:rsidR="008E7BFA" w:rsidRPr="003D66E7">
        <w:rPr>
          <w:rFonts w:cstheme="minorHAnsi"/>
        </w:rPr>
        <w:t>základn</w:t>
      </w:r>
      <w:r w:rsidRPr="003D66E7">
        <w:rPr>
          <w:rFonts w:cstheme="minorHAnsi"/>
        </w:rPr>
        <w:t>é</w:t>
      </w:r>
      <w:r w:rsidR="008E7BFA" w:rsidRPr="003D66E7">
        <w:rPr>
          <w:rFonts w:cstheme="minorHAnsi"/>
        </w:rPr>
        <w:t xml:space="preserve"> vybaven</w:t>
      </w:r>
      <w:r w:rsidRPr="003D66E7">
        <w:rPr>
          <w:rFonts w:cstheme="minorHAnsi"/>
        </w:rPr>
        <w:t>ie</w:t>
      </w:r>
      <w:r w:rsidR="008E7BFA" w:rsidRPr="003D66E7">
        <w:rPr>
          <w:rFonts w:cstheme="minorHAnsi"/>
        </w:rPr>
        <w:t>, vrátane</w:t>
      </w:r>
      <w:r w:rsidRPr="003D66E7">
        <w:rPr>
          <w:rFonts w:cstheme="minorHAnsi"/>
        </w:rPr>
        <w:t xml:space="preserve"> kuchynskej linky, </w:t>
      </w:r>
      <w:r w:rsidR="008E7BFA" w:rsidRPr="003D66E7">
        <w:rPr>
          <w:rFonts w:cstheme="minorHAnsi"/>
        </w:rPr>
        <w:t>varnej dosky</w:t>
      </w:r>
      <w:r w:rsidR="00800E13">
        <w:rPr>
          <w:rFonts w:cstheme="minorHAnsi"/>
        </w:rPr>
        <w:t xml:space="preserve"> vrátane vstavanej elektrickej rúry alebo samostatne stojacim sporákom (elektrický/plynový)</w:t>
      </w:r>
      <w:r w:rsidR="008E7BFA" w:rsidRPr="003D66E7">
        <w:rPr>
          <w:rFonts w:cstheme="minorHAnsi"/>
        </w:rPr>
        <w:t xml:space="preserve"> a</w:t>
      </w:r>
      <w:r w:rsidR="00800E13">
        <w:rPr>
          <w:rFonts w:cstheme="minorHAnsi"/>
        </w:rPr>
        <w:t> </w:t>
      </w:r>
      <w:r w:rsidR="008E7BFA" w:rsidRPr="003D66E7">
        <w:rPr>
          <w:rFonts w:cstheme="minorHAnsi"/>
        </w:rPr>
        <w:t>chladničky</w:t>
      </w:r>
      <w:r w:rsidR="00800E13">
        <w:rPr>
          <w:rFonts w:cstheme="minorHAnsi"/>
        </w:rPr>
        <w:t>.</w:t>
      </w:r>
    </w:p>
    <w:p w14:paraId="08254C6A" w14:textId="2B3241FE" w:rsidR="008E7BFA" w:rsidRPr="003D66E7" w:rsidRDefault="008E7BFA" w:rsidP="00BF697D">
      <w:pPr>
        <w:jc w:val="both"/>
        <w:rPr>
          <w:rFonts w:cstheme="minorHAnsi"/>
        </w:rPr>
      </w:pPr>
      <w:r w:rsidRPr="003D66E7">
        <w:rPr>
          <w:rFonts w:cstheme="minorHAnsi"/>
          <w:b/>
        </w:rPr>
        <w:t>Obytná miestnosť</w:t>
      </w:r>
      <w:r w:rsidRPr="003D66E7">
        <w:rPr>
          <w:rFonts w:cstheme="minorHAnsi"/>
        </w:rPr>
        <w:t>: miestnosť priamo osvetlená a priamo vetrateľná, s podlahovou plochou aspoň 8</w:t>
      </w:r>
      <w:r w:rsidR="00C34252">
        <w:rPr>
          <w:rFonts w:cstheme="minorHAnsi"/>
        </w:rPr>
        <w:t> </w:t>
      </w:r>
      <w:r w:rsidRPr="003D66E7">
        <w:rPr>
          <w:rFonts w:cstheme="minorHAnsi"/>
        </w:rPr>
        <w:t>m2, ktorá je priamo alebo dostatočne nepriamo vykurovaná a ktorá je vzhľadom na svoje stavebno-technické usporiadanie a vybavenie určená na celoročné bývanie; za uvedených podmienok sa považuje za obytnú miestnosť aj kuchyňa</w:t>
      </w:r>
      <w:r w:rsidR="00800E13">
        <w:rPr>
          <w:rFonts w:cstheme="minorHAnsi"/>
        </w:rPr>
        <w:t xml:space="preserve"> s podlahovou plochou nad 12 m</w:t>
      </w:r>
      <w:r w:rsidR="00800E13" w:rsidRPr="00EA246D">
        <w:rPr>
          <w:rFonts w:cstheme="minorHAnsi"/>
          <w:vertAlign w:val="superscript"/>
        </w:rPr>
        <w:t>2</w:t>
      </w:r>
      <w:r w:rsidR="00800E13">
        <w:rPr>
          <w:rFonts w:cstheme="minorHAnsi"/>
        </w:rPr>
        <w:t>.</w:t>
      </w:r>
    </w:p>
    <w:p w14:paraId="19F121CD" w14:textId="22BB8A09" w:rsidR="008E7BFA" w:rsidRPr="003D66E7" w:rsidRDefault="008E7BFA" w:rsidP="00BF697D">
      <w:pPr>
        <w:jc w:val="both"/>
        <w:rPr>
          <w:rFonts w:cstheme="minorHAnsi"/>
        </w:rPr>
      </w:pPr>
      <w:r w:rsidRPr="003D66E7">
        <w:rPr>
          <w:rFonts w:cstheme="minorHAnsi"/>
          <w:b/>
        </w:rPr>
        <w:t>Príslušenstvo bytu:</w:t>
      </w:r>
      <w:r w:rsidRPr="003D66E7">
        <w:rPr>
          <w:rFonts w:cstheme="minorHAnsi"/>
        </w:rPr>
        <w:t xml:space="preserve"> je najmä miestnosť určená ako vstupný priestor bytu, kuchyňa s podlahovou plochou do 12 m</w:t>
      </w:r>
      <w:r w:rsidRPr="00EA246D">
        <w:rPr>
          <w:rFonts w:cstheme="minorHAnsi"/>
          <w:vertAlign w:val="superscript"/>
        </w:rPr>
        <w:t>2</w:t>
      </w:r>
      <w:r w:rsidRPr="003D66E7">
        <w:rPr>
          <w:rFonts w:cstheme="minorHAnsi"/>
        </w:rPr>
        <w:t>, priestor na uskladnenie potravín, priestor na osobnú hygienu, priestor na umiestnenie záchodovej misy, ak sú tieto mie</w:t>
      </w:r>
      <w:r w:rsidR="00800E13">
        <w:rPr>
          <w:rFonts w:cstheme="minorHAnsi"/>
        </w:rPr>
        <w:t>stnosti umiestnené v rámci bytu.</w:t>
      </w:r>
    </w:p>
    <w:p w14:paraId="52AA7E27" w14:textId="7F9F985A" w:rsidR="008E7BFA" w:rsidRPr="003D66E7" w:rsidRDefault="008E7BFA" w:rsidP="00BF697D">
      <w:pPr>
        <w:jc w:val="both"/>
        <w:rPr>
          <w:rFonts w:cstheme="minorHAnsi"/>
        </w:rPr>
      </w:pPr>
      <w:r w:rsidRPr="003D66E7">
        <w:rPr>
          <w:rFonts w:cstheme="minorHAnsi"/>
          <w:b/>
        </w:rPr>
        <w:lastRenderedPageBreak/>
        <w:t>Podlahová plocha bytu</w:t>
      </w:r>
      <w:r w:rsidRPr="003D66E7">
        <w:rPr>
          <w:rFonts w:cstheme="minorHAnsi"/>
        </w:rPr>
        <w:t xml:space="preserve"> je súčet plochy jeho obytných miestností</w:t>
      </w:r>
      <w:r w:rsidR="00FC1989" w:rsidRPr="003D66E7">
        <w:rPr>
          <w:rFonts w:cstheme="minorHAnsi"/>
        </w:rPr>
        <w:t xml:space="preserve">, </w:t>
      </w:r>
      <w:r w:rsidRPr="003D66E7">
        <w:rPr>
          <w:rFonts w:cstheme="minorHAnsi"/>
        </w:rPr>
        <w:t>plochy príslušenstva bytu a pl</w:t>
      </w:r>
      <w:r w:rsidR="00FC1989" w:rsidRPr="003D66E7">
        <w:rPr>
          <w:rFonts w:cstheme="minorHAnsi"/>
        </w:rPr>
        <w:t>ochy lodžií, balkónov a terás.</w:t>
      </w:r>
    </w:p>
    <w:p w14:paraId="71B67F59" w14:textId="61D466B7" w:rsidR="008E7BFA" w:rsidRPr="003D66E7" w:rsidRDefault="008E7BFA" w:rsidP="00BF697D">
      <w:pPr>
        <w:jc w:val="both"/>
        <w:rPr>
          <w:rFonts w:cstheme="minorHAnsi"/>
        </w:rPr>
      </w:pPr>
      <w:r w:rsidRPr="003D66E7">
        <w:rPr>
          <w:rFonts w:cstheme="minorHAnsi"/>
          <w:b/>
        </w:rPr>
        <w:t>Celková podlahová plocha bytového domu a rodinného domu</w:t>
      </w:r>
      <w:r w:rsidRPr="003D66E7">
        <w:rPr>
          <w:rFonts w:cstheme="minorHAnsi"/>
        </w:rPr>
        <w:t xml:space="preserve"> je súčet podlahovej plochy bytov, spoločných priestorov, pivníc, lodžií, balkónov, terás, garáží a nebytových priestorov nachádzajúcich sa v budove; do plochy sa nezapočítava plocha</w:t>
      </w:r>
      <w:r w:rsidR="00FC1989" w:rsidRPr="003D66E7">
        <w:rPr>
          <w:rFonts w:cstheme="minorHAnsi"/>
        </w:rPr>
        <w:t xml:space="preserve"> výťahov a schodiskových ramien.</w:t>
      </w:r>
    </w:p>
    <w:p w14:paraId="014069BB" w14:textId="771E1D47" w:rsidR="008E7BFA" w:rsidRDefault="008E7BFA" w:rsidP="00BF697D">
      <w:pPr>
        <w:jc w:val="both"/>
        <w:rPr>
          <w:rFonts w:cstheme="minorHAnsi"/>
        </w:rPr>
      </w:pPr>
      <w:r w:rsidRPr="003D66E7">
        <w:rPr>
          <w:rFonts w:cstheme="minorHAnsi"/>
          <w:b/>
        </w:rPr>
        <w:t>Priemerná podlahová plocha bytov</w:t>
      </w:r>
      <w:r w:rsidRPr="003D66E7">
        <w:rPr>
          <w:rFonts w:cstheme="minorHAnsi"/>
        </w:rPr>
        <w:t xml:space="preserve"> je podielom </w:t>
      </w:r>
      <w:r w:rsidR="00FC1989" w:rsidRPr="003D66E7">
        <w:rPr>
          <w:rFonts w:cstheme="minorHAnsi"/>
        </w:rPr>
        <w:t xml:space="preserve">súčtu </w:t>
      </w:r>
      <w:r w:rsidRPr="003D66E7">
        <w:rPr>
          <w:rFonts w:cstheme="minorHAnsi"/>
        </w:rPr>
        <w:t>celkovej podlahovej plochy bytov a počtu bytov.</w:t>
      </w:r>
    </w:p>
    <w:p w14:paraId="2738C267" w14:textId="77777777" w:rsidR="006A643B" w:rsidRDefault="006A643B" w:rsidP="00925B1F">
      <w:pPr>
        <w:jc w:val="both"/>
        <w:rPr>
          <w:rFonts w:cstheme="minorHAnsi"/>
        </w:rPr>
      </w:pPr>
      <w:r w:rsidRPr="00827471">
        <w:rPr>
          <w:rFonts w:cstheme="minorHAnsi"/>
          <w:b/>
          <w:bCs/>
        </w:rPr>
        <w:t>Dôležité</w:t>
      </w:r>
      <w:r>
        <w:rPr>
          <w:rFonts w:cstheme="minorHAnsi"/>
          <w:b/>
          <w:bCs/>
        </w:rPr>
        <w:t xml:space="preserve"> podmienky vo vzťahu k plochám bytov</w:t>
      </w:r>
      <w:r w:rsidRPr="00827471">
        <w:rPr>
          <w:rFonts w:cstheme="minorHAnsi"/>
          <w:b/>
          <w:bCs/>
        </w:rPr>
        <w:t>:</w:t>
      </w:r>
      <w:r>
        <w:rPr>
          <w:rFonts w:cstheme="minorHAnsi"/>
        </w:rPr>
        <w:t xml:space="preserve"> </w:t>
      </w:r>
    </w:p>
    <w:p w14:paraId="4786ACA1" w14:textId="77777777" w:rsidR="006A643B" w:rsidRDefault="006A643B" w:rsidP="00925B1F">
      <w:pPr>
        <w:pStyle w:val="Odsekzoznamu"/>
        <w:numPr>
          <w:ilvl w:val="0"/>
          <w:numId w:val="41"/>
        </w:numPr>
        <w:jc w:val="both"/>
        <w:rPr>
          <w:rFonts w:cstheme="minorHAnsi"/>
        </w:rPr>
      </w:pPr>
      <w:r w:rsidRPr="00827471">
        <w:rPr>
          <w:rFonts w:cstheme="minorHAnsi"/>
          <w:b/>
        </w:rPr>
        <w:t>Priemerná podlahová plocha</w:t>
      </w:r>
      <w:r w:rsidRPr="00A168ED">
        <w:rPr>
          <w:rFonts w:cstheme="minorHAnsi"/>
        </w:rPr>
        <w:t xml:space="preserve"> nájomných bytov </w:t>
      </w:r>
      <w:r w:rsidRPr="00827471">
        <w:rPr>
          <w:rFonts w:cstheme="minorHAnsi"/>
          <w:b/>
          <w:bCs/>
        </w:rPr>
        <w:t>nesmie</w:t>
      </w:r>
      <w:r w:rsidRPr="00A168ED">
        <w:rPr>
          <w:rFonts w:cstheme="minorHAnsi"/>
        </w:rPr>
        <w:t xml:space="preserve"> </w:t>
      </w:r>
      <w:r w:rsidRPr="00827471">
        <w:rPr>
          <w:rFonts w:cstheme="minorHAnsi"/>
          <w:b/>
        </w:rPr>
        <w:t>presiahn</w:t>
      </w:r>
      <w:r>
        <w:rPr>
          <w:rFonts w:cstheme="minorHAnsi"/>
          <w:b/>
        </w:rPr>
        <w:t>u</w:t>
      </w:r>
      <w:r w:rsidRPr="00827471">
        <w:rPr>
          <w:rFonts w:cstheme="minorHAnsi"/>
          <w:b/>
        </w:rPr>
        <w:t>ť 60 m</w:t>
      </w:r>
      <w:r w:rsidRPr="00EA246D">
        <w:rPr>
          <w:rFonts w:cstheme="minorHAnsi"/>
          <w:b/>
          <w:vertAlign w:val="superscript"/>
        </w:rPr>
        <w:t>2</w:t>
      </w:r>
      <w:r w:rsidRPr="00A168ED">
        <w:rPr>
          <w:rFonts w:cstheme="minorHAnsi"/>
        </w:rPr>
        <w:t xml:space="preserve">. </w:t>
      </w:r>
    </w:p>
    <w:p w14:paraId="149973B5" w14:textId="77777777" w:rsidR="006A643B" w:rsidRPr="00A168ED" w:rsidRDefault="006A643B" w:rsidP="00925B1F">
      <w:pPr>
        <w:pStyle w:val="Odsekzoznamu"/>
        <w:numPr>
          <w:ilvl w:val="0"/>
          <w:numId w:val="41"/>
        </w:numPr>
        <w:jc w:val="both"/>
        <w:rPr>
          <w:rFonts w:cstheme="minorHAnsi"/>
        </w:rPr>
      </w:pPr>
      <w:r w:rsidRPr="00827471">
        <w:rPr>
          <w:rFonts w:cstheme="minorHAnsi"/>
          <w:b/>
        </w:rPr>
        <w:t>Maximálna plocha bytu je 80 m</w:t>
      </w:r>
      <w:r w:rsidRPr="00EA246D">
        <w:rPr>
          <w:rFonts w:cstheme="minorHAnsi"/>
          <w:b/>
          <w:vertAlign w:val="superscript"/>
        </w:rPr>
        <w:t>2</w:t>
      </w:r>
      <w:r w:rsidRPr="00A168ED">
        <w:rPr>
          <w:rFonts w:cstheme="minorHAnsi"/>
        </w:rPr>
        <w:t xml:space="preserve">; podlahovú plochu bytu je </w:t>
      </w:r>
      <w:r w:rsidRPr="00827471">
        <w:rPr>
          <w:rFonts w:cstheme="minorHAnsi"/>
          <w:b/>
        </w:rPr>
        <w:t>možné zvýšiť najviac o 10 %</w:t>
      </w:r>
      <w:r w:rsidRPr="00A168ED">
        <w:rPr>
          <w:rFonts w:cstheme="minorHAnsi"/>
        </w:rPr>
        <w:t xml:space="preserve"> v prípade, ak ide o </w:t>
      </w:r>
      <w:r w:rsidRPr="00827471">
        <w:rPr>
          <w:rFonts w:cstheme="minorHAnsi"/>
          <w:b/>
        </w:rPr>
        <w:t>byt stavebne určený pre bývanie osoby s ťažkým zdravotným postihnutím</w:t>
      </w:r>
      <w:r w:rsidRPr="00A168ED">
        <w:rPr>
          <w:rFonts w:cstheme="minorHAnsi"/>
        </w:rPr>
        <w:t>, a</w:t>
      </w:r>
      <w:r>
        <w:rPr>
          <w:rFonts w:cstheme="minorHAnsi"/>
        </w:rPr>
        <w:t> </w:t>
      </w:r>
      <w:r w:rsidRPr="00A168ED">
        <w:rPr>
          <w:rFonts w:cstheme="minorHAnsi"/>
        </w:rPr>
        <w:t>zároveň</w:t>
      </w:r>
      <w:r>
        <w:rPr>
          <w:rFonts w:cstheme="minorHAnsi"/>
        </w:rPr>
        <w:t>,</w:t>
      </w:r>
      <w:r w:rsidRPr="00A168ED">
        <w:rPr>
          <w:rFonts w:cstheme="minorHAnsi"/>
        </w:rPr>
        <w:t xml:space="preserve"> minimálne 15 % bytov z celkového počtu obstarávaných nájomných bytov v bytovej budove alebo v nebytovej budove, ktorá má zriadený výťah, je navrhnutých univerzálne z hľadiska stavebných konštrukcií a to tak, aby ich mohli využívať osoby so zdravotným postihnutím bez dodatočných úprav týchto konštrukcií. </w:t>
      </w:r>
    </w:p>
    <w:p w14:paraId="615BD783" w14:textId="0CEE25E8" w:rsidR="008E7BFA" w:rsidRPr="003D66E7" w:rsidRDefault="008E7BFA" w:rsidP="00BF697D">
      <w:pPr>
        <w:jc w:val="both"/>
        <w:rPr>
          <w:rFonts w:cstheme="minorHAnsi"/>
        </w:rPr>
      </w:pPr>
      <w:r w:rsidRPr="003D66E7">
        <w:rPr>
          <w:rFonts w:cstheme="minorHAnsi"/>
          <w:b/>
        </w:rPr>
        <w:t>Základné funkcie bývania</w:t>
      </w:r>
      <w:r w:rsidRPr="003D66E7">
        <w:rPr>
          <w:rFonts w:cstheme="minorHAnsi"/>
        </w:rPr>
        <w:t xml:space="preserve"> sú funkcie zabezpečujúce potreby spánku, odpočinku, prípravy potravy, osobnej hygieny a úschovy osobných vecí</w:t>
      </w:r>
      <w:r w:rsidR="00FC1989" w:rsidRPr="003D66E7">
        <w:rPr>
          <w:rFonts w:cstheme="minorHAnsi"/>
        </w:rPr>
        <w:t>.</w:t>
      </w:r>
    </w:p>
    <w:p w14:paraId="7D56222D" w14:textId="69F60492" w:rsidR="008E7BFA" w:rsidRPr="003D66E7" w:rsidRDefault="008E7BFA" w:rsidP="00BF697D">
      <w:pPr>
        <w:jc w:val="both"/>
        <w:rPr>
          <w:rFonts w:cstheme="minorHAnsi"/>
          <w:b/>
          <w:i/>
        </w:rPr>
      </w:pPr>
      <w:r w:rsidRPr="003D66E7">
        <w:rPr>
          <w:rFonts w:cstheme="minorHAnsi"/>
          <w:b/>
        </w:rPr>
        <w:t>Definícia sociálneho bývania</w:t>
      </w:r>
      <w:r w:rsidRPr="003D66E7">
        <w:rPr>
          <w:rFonts w:cstheme="minorHAnsi"/>
        </w:rPr>
        <w:t xml:space="preserve">: </w:t>
      </w:r>
      <w:r w:rsidRPr="003D66E7">
        <w:rPr>
          <w:rFonts w:cstheme="minorHAnsi"/>
          <w:b/>
          <w:i/>
        </w:rPr>
        <w:t>Sociálne bývanie je bývanie obstarané s použitím verejných prostriedkov</w:t>
      </w:r>
      <w:r w:rsidRPr="003D66E7">
        <w:rPr>
          <w:rFonts w:cstheme="minorHAnsi"/>
        </w:rPr>
        <w:t xml:space="preserve"> určené na primerané a ľudsky dôstojné bývanie fyzických osôb, ktoré si nemôžu obstarať bývanie vlastným pričinením a spĺňajú podmienky podľa zákona</w:t>
      </w:r>
      <w:r w:rsidR="00FC1989" w:rsidRPr="003D66E7">
        <w:rPr>
          <w:rFonts w:cstheme="minorHAnsi"/>
        </w:rPr>
        <w:t xml:space="preserve"> č. 443/2010 Z.</w:t>
      </w:r>
      <w:r w:rsidR="00800E13">
        <w:rPr>
          <w:rFonts w:cstheme="minorHAnsi"/>
        </w:rPr>
        <w:t> </w:t>
      </w:r>
      <w:r w:rsidR="00FC1989" w:rsidRPr="003D66E7">
        <w:rPr>
          <w:rFonts w:cstheme="minorHAnsi"/>
        </w:rPr>
        <w:t xml:space="preserve">z. o dotáciách na rozvoj bývania a o sociálnom bývaní v znení neskorších predpisov. </w:t>
      </w:r>
      <w:r w:rsidRPr="003D66E7">
        <w:rPr>
          <w:rFonts w:cstheme="minorHAnsi"/>
        </w:rPr>
        <w:t xml:space="preserve">Sociálne bývanie poskytované obcou alebo vyšším územným celkom je </w:t>
      </w:r>
      <w:r w:rsidRPr="003D66E7">
        <w:rPr>
          <w:rFonts w:cstheme="minorHAnsi"/>
          <w:b/>
          <w:i/>
        </w:rPr>
        <w:t>všeobecne prospešnou službou.</w:t>
      </w:r>
    </w:p>
    <w:p w14:paraId="6C6A10FB" w14:textId="2C9D58BA" w:rsidR="008E7BFA" w:rsidRPr="003D66E7" w:rsidRDefault="008E7BFA" w:rsidP="00BF697D">
      <w:pPr>
        <w:jc w:val="both"/>
        <w:rPr>
          <w:rFonts w:cstheme="minorHAnsi"/>
        </w:rPr>
      </w:pPr>
      <w:r w:rsidRPr="003D66E7">
        <w:rPr>
          <w:rFonts w:cstheme="minorHAnsi"/>
          <w:b/>
          <w:i/>
        </w:rPr>
        <w:t>Za primerané a ľudsky dôstojné bývanie</w:t>
      </w:r>
      <w:r w:rsidRPr="003D66E7">
        <w:rPr>
          <w:rFonts w:cstheme="minorHAnsi"/>
        </w:rPr>
        <w:t xml:space="preserve"> sa považuje bývanie, ktoré spĺňa </w:t>
      </w:r>
      <w:r w:rsidRPr="003D66E7">
        <w:rPr>
          <w:rFonts w:cstheme="minorHAnsi"/>
          <w:b/>
          <w:i/>
        </w:rPr>
        <w:t>základné funkcie bývania</w:t>
      </w:r>
      <w:r w:rsidRPr="003D66E7">
        <w:rPr>
          <w:rFonts w:cstheme="minorHAnsi"/>
        </w:rPr>
        <w:t>.</w:t>
      </w:r>
    </w:p>
    <w:p w14:paraId="57C18836" w14:textId="03504397" w:rsidR="00D309B2" w:rsidRDefault="008E7BFA" w:rsidP="00BF697D">
      <w:pPr>
        <w:jc w:val="both"/>
        <w:rPr>
          <w:rFonts w:cstheme="minorHAnsi"/>
        </w:rPr>
      </w:pPr>
      <w:r w:rsidRPr="003D66E7">
        <w:rPr>
          <w:rFonts w:cstheme="minorHAnsi"/>
          <w:b/>
        </w:rPr>
        <w:t>Sociálne bývanie</w:t>
      </w:r>
      <w:r w:rsidRPr="003D66E7">
        <w:rPr>
          <w:rFonts w:cstheme="minorHAnsi"/>
        </w:rPr>
        <w:t xml:space="preserve"> v byte je bývanie poskytované </w:t>
      </w:r>
      <w:r w:rsidRPr="003D66E7">
        <w:rPr>
          <w:rFonts w:cstheme="minorHAnsi"/>
          <w:b/>
        </w:rPr>
        <w:t>oprávnenej fyzickej osobe</w:t>
      </w:r>
      <w:r w:rsidRPr="003D66E7">
        <w:rPr>
          <w:rFonts w:cstheme="minorHAnsi"/>
        </w:rPr>
        <w:t xml:space="preserve"> v byte, ktorého </w:t>
      </w:r>
      <w:r w:rsidRPr="003D66E7">
        <w:rPr>
          <w:rFonts w:cstheme="minorHAnsi"/>
          <w:b/>
        </w:rPr>
        <w:t>podlahová plocha neprevyšuje 80 m</w:t>
      </w:r>
      <w:r w:rsidRPr="00EA246D">
        <w:rPr>
          <w:rFonts w:cstheme="minorHAnsi"/>
          <w:b/>
          <w:vertAlign w:val="superscript"/>
        </w:rPr>
        <w:t>2</w:t>
      </w:r>
      <w:r w:rsidRPr="003D66E7">
        <w:rPr>
          <w:rFonts w:cstheme="minorHAnsi"/>
          <w:b/>
        </w:rPr>
        <w:t xml:space="preserve"> pre byt bežného štandardu</w:t>
      </w:r>
      <w:r w:rsidR="00544F55" w:rsidRPr="003D66E7">
        <w:rPr>
          <w:rFonts w:cstheme="minorHAnsi"/>
          <w:b/>
        </w:rPr>
        <w:t xml:space="preserve">. </w:t>
      </w:r>
      <w:r w:rsidR="00544F55" w:rsidRPr="003D66E7">
        <w:rPr>
          <w:rFonts w:cstheme="minorHAnsi"/>
        </w:rPr>
        <w:t xml:space="preserve">Podlahovú plochu podľa predchádzajúcej vety možno zvýšiť najviac o 10 %, ak ide o byt stavebne určený na bývanie osoby s ťažkým zdravotným postihnutím. </w:t>
      </w:r>
    </w:p>
    <w:p w14:paraId="3FCFF454" w14:textId="26509FF7" w:rsidR="006A643B" w:rsidRDefault="006A643B" w:rsidP="00925B1F">
      <w:pPr>
        <w:tabs>
          <w:tab w:val="left" w:pos="5580"/>
        </w:tabs>
        <w:jc w:val="both"/>
        <w:rPr>
          <w:rFonts w:eastAsiaTheme="majorEastAsia" w:cstheme="minorHAnsi"/>
          <w:bCs/>
          <w:szCs w:val="24"/>
        </w:rPr>
      </w:pPr>
      <w:r>
        <w:rPr>
          <w:rFonts w:eastAsiaTheme="majorEastAsia" w:cstheme="minorHAnsi"/>
          <w:b/>
          <w:bCs/>
          <w:szCs w:val="24"/>
        </w:rPr>
        <w:t>Ž</w:t>
      </w:r>
      <w:r w:rsidRPr="0002065A">
        <w:rPr>
          <w:rFonts w:eastAsiaTheme="majorEastAsia" w:cstheme="minorHAnsi"/>
          <w:b/>
          <w:bCs/>
          <w:szCs w:val="24"/>
        </w:rPr>
        <w:t>iadateľ/prijímateľ</w:t>
      </w:r>
      <w:r>
        <w:rPr>
          <w:rFonts w:eastAsiaTheme="majorEastAsia" w:cstheme="minorHAnsi"/>
          <w:b/>
          <w:bCs/>
          <w:szCs w:val="24"/>
        </w:rPr>
        <w:t xml:space="preserve"> </w:t>
      </w:r>
      <w:r w:rsidR="009B1E7E">
        <w:rPr>
          <w:rFonts w:eastAsiaTheme="majorEastAsia" w:cstheme="minorHAnsi"/>
          <w:bCs/>
          <w:szCs w:val="24"/>
        </w:rPr>
        <w:t>je povinný</w:t>
      </w:r>
      <w:r>
        <w:rPr>
          <w:rFonts w:eastAsiaTheme="majorEastAsia" w:cstheme="minorHAnsi"/>
          <w:bCs/>
          <w:szCs w:val="24"/>
        </w:rPr>
        <w:t>:</w:t>
      </w:r>
    </w:p>
    <w:p w14:paraId="27DD1E06" w14:textId="1AEF5E8E" w:rsidR="006A643B" w:rsidRDefault="009B1E7E" w:rsidP="00925B1F">
      <w:pPr>
        <w:pStyle w:val="Odsekzoznamu"/>
        <w:numPr>
          <w:ilvl w:val="0"/>
          <w:numId w:val="42"/>
        </w:numPr>
        <w:tabs>
          <w:tab w:val="left" w:pos="5580"/>
        </w:tabs>
        <w:jc w:val="both"/>
        <w:rPr>
          <w:rFonts w:eastAsiaTheme="majorEastAsia" w:cstheme="minorHAnsi"/>
          <w:bCs/>
          <w:szCs w:val="24"/>
        </w:rPr>
      </w:pPr>
      <w:r w:rsidRPr="00827471">
        <w:rPr>
          <w:rFonts w:eastAsiaTheme="majorEastAsia" w:cstheme="minorHAnsi"/>
          <w:bCs/>
          <w:szCs w:val="24"/>
        </w:rPr>
        <w:t>zacho</w:t>
      </w:r>
      <w:r w:rsidRPr="007B6424">
        <w:t>v</w:t>
      </w:r>
      <w:r>
        <w:t>ať</w:t>
      </w:r>
      <w:r w:rsidRPr="007B6424">
        <w:t xml:space="preserve"> </w:t>
      </w:r>
      <w:r w:rsidR="006A643B" w:rsidRPr="00827471">
        <w:rPr>
          <w:rFonts w:eastAsiaTheme="majorEastAsia" w:cstheme="minorHAnsi"/>
          <w:b/>
          <w:bCs/>
          <w:szCs w:val="24"/>
        </w:rPr>
        <w:t>nájomný charakter bytov</w:t>
      </w:r>
      <w:r w:rsidR="006A643B" w:rsidRPr="00827471">
        <w:rPr>
          <w:rFonts w:eastAsiaTheme="majorEastAsia" w:cstheme="minorHAnsi"/>
          <w:bCs/>
          <w:szCs w:val="24"/>
        </w:rPr>
        <w:t xml:space="preserve">, </w:t>
      </w:r>
    </w:p>
    <w:p w14:paraId="0D3C4938" w14:textId="76205BD7" w:rsidR="001F2C66" w:rsidRDefault="009B1E7E" w:rsidP="00925B1F">
      <w:pPr>
        <w:pStyle w:val="Odsekzoznamu"/>
        <w:numPr>
          <w:ilvl w:val="0"/>
          <w:numId w:val="42"/>
        </w:numPr>
        <w:tabs>
          <w:tab w:val="left" w:pos="5580"/>
        </w:tabs>
        <w:jc w:val="both"/>
        <w:rPr>
          <w:rFonts w:eastAsiaTheme="majorEastAsia" w:cstheme="minorHAnsi"/>
          <w:bCs/>
          <w:szCs w:val="24"/>
        </w:rPr>
      </w:pPr>
      <w:r w:rsidRPr="00051D97">
        <w:t>zabezpeč</w:t>
      </w:r>
      <w:r>
        <w:t>iť</w:t>
      </w:r>
      <w:r w:rsidRPr="00051D97">
        <w:t xml:space="preserve"> </w:t>
      </w:r>
      <w:r w:rsidR="001F2C66" w:rsidRPr="00051D97">
        <w:t xml:space="preserve">poskytovanie sprievodnej sociálnej služby prostredníctvom </w:t>
      </w:r>
      <w:r w:rsidR="001F2C66" w:rsidRPr="001F2C66">
        <w:rPr>
          <w:b/>
        </w:rPr>
        <w:t>asistenta bývania</w:t>
      </w:r>
      <w:r w:rsidR="001F2C66">
        <w:rPr>
          <w:b/>
        </w:rPr>
        <w:t>,</w:t>
      </w:r>
    </w:p>
    <w:p w14:paraId="68D5880C" w14:textId="52704AD4" w:rsidR="006A643B" w:rsidRDefault="009B1E7E" w:rsidP="00925B1F">
      <w:pPr>
        <w:pStyle w:val="Odsekzoznamu"/>
        <w:numPr>
          <w:ilvl w:val="0"/>
          <w:numId w:val="42"/>
        </w:numPr>
        <w:tabs>
          <w:tab w:val="left" w:pos="5580"/>
        </w:tabs>
        <w:jc w:val="both"/>
        <w:rPr>
          <w:rFonts w:eastAsiaTheme="majorEastAsia" w:cstheme="minorHAnsi"/>
          <w:bCs/>
          <w:szCs w:val="24"/>
        </w:rPr>
      </w:pPr>
      <w:r>
        <w:t>prenajať byt</w:t>
      </w:r>
      <w:r w:rsidR="006A643B" w:rsidRPr="007B6424">
        <w:t xml:space="preserve"> </w:t>
      </w:r>
      <w:r w:rsidR="006A643B" w:rsidRPr="007B6424">
        <w:rPr>
          <w:b/>
        </w:rPr>
        <w:t>oprávnenej fyzickej osobe</w:t>
      </w:r>
      <w:r w:rsidR="006A643B">
        <w:rPr>
          <w:b/>
        </w:rPr>
        <w:t xml:space="preserve"> </w:t>
      </w:r>
      <w:r w:rsidR="006A643B" w:rsidRPr="00A14927">
        <w:t>(min. 50 % bytov</w:t>
      </w:r>
      <w:r w:rsidR="00C34252">
        <w:t xml:space="preserve"> (v špecifickom prípade minimálne 30 % bytov)</w:t>
      </w:r>
      <w:r w:rsidR="006A643B" w:rsidRPr="00A14927">
        <w:t xml:space="preserve"> prenajme obyvateľom MRK),</w:t>
      </w:r>
      <w:r w:rsidR="006A643B" w:rsidRPr="007B6424">
        <w:t xml:space="preserve"> </w:t>
      </w:r>
    </w:p>
    <w:p w14:paraId="62D11337" w14:textId="1BC0E575" w:rsidR="006A643B" w:rsidRDefault="006A643B" w:rsidP="00925B1F">
      <w:pPr>
        <w:pStyle w:val="Odsekzoznamu"/>
        <w:numPr>
          <w:ilvl w:val="0"/>
          <w:numId w:val="42"/>
        </w:numPr>
        <w:tabs>
          <w:tab w:val="left" w:pos="5580"/>
        </w:tabs>
        <w:jc w:val="both"/>
        <w:rPr>
          <w:rFonts w:eastAsiaTheme="majorEastAsia" w:cstheme="minorHAnsi"/>
          <w:bCs/>
          <w:szCs w:val="24"/>
        </w:rPr>
      </w:pPr>
      <w:r w:rsidRPr="00827471">
        <w:rPr>
          <w:rFonts w:eastAsiaTheme="majorEastAsia" w:cstheme="minorHAnsi"/>
          <w:b/>
          <w:bCs/>
          <w:szCs w:val="24"/>
        </w:rPr>
        <w:t>tvoriť</w:t>
      </w:r>
      <w:r w:rsidR="009B1E7E">
        <w:rPr>
          <w:rFonts w:eastAsiaTheme="majorEastAsia" w:cstheme="minorHAnsi"/>
          <w:b/>
          <w:bCs/>
          <w:szCs w:val="24"/>
        </w:rPr>
        <w:t xml:space="preserve"> z nájomného</w:t>
      </w:r>
      <w:r w:rsidRPr="00827471">
        <w:rPr>
          <w:rFonts w:eastAsiaTheme="majorEastAsia" w:cstheme="minorHAnsi"/>
          <w:b/>
          <w:bCs/>
          <w:szCs w:val="24"/>
        </w:rPr>
        <w:t xml:space="preserve"> fond prevádzky, údržby a opráv</w:t>
      </w:r>
      <w:r w:rsidRPr="00827471">
        <w:rPr>
          <w:rFonts w:eastAsiaTheme="majorEastAsia" w:cstheme="minorHAnsi"/>
          <w:bCs/>
          <w:szCs w:val="24"/>
        </w:rPr>
        <w:t xml:space="preserve"> bytovej budovy/osobitný rezervný fond ročne minimálne vo výške 0,5 % nákladov na obstaranie nájomného bytu a </w:t>
      </w:r>
      <w:r w:rsidRPr="00827471">
        <w:rPr>
          <w:rFonts w:eastAsiaTheme="majorEastAsia" w:cstheme="minorHAnsi"/>
          <w:b/>
          <w:bCs/>
          <w:szCs w:val="24"/>
        </w:rPr>
        <w:t>nájomnú zmluvu uzavrie</w:t>
      </w:r>
      <w:r w:rsidRPr="00827471">
        <w:rPr>
          <w:rFonts w:eastAsiaTheme="majorEastAsia" w:cstheme="minorHAnsi"/>
          <w:bCs/>
          <w:szCs w:val="24"/>
        </w:rPr>
        <w:t xml:space="preserve"> najskôr po nadobudnutí právoplatnosti kolaudačného rozhodnutia na bytovú budovu</w:t>
      </w:r>
      <w:r w:rsidR="00124FA8">
        <w:rPr>
          <w:rFonts w:eastAsiaTheme="majorEastAsia" w:cstheme="minorHAnsi"/>
          <w:bCs/>
          <w:szCs w:val="24"/>
        </w:rPr>
        <w:t>,</w:t>
      </w:r>
    </w:p>
    <w:p w14:paraId="286853F6" w14:textId="3D536B75" w:rsidR="00124FA8" w:rsidRDefault="00124FA8" w:rsidP="00925B1F">
      <w:pPr>
        <w:pStyle w:val="Odsekzoznamu"/>
        <w:numPr>
          <w:ilvl w:val="0"/>
          <w:numId w:val="42"/>
        </w:numPr>
        <w:tabs>
          <w:tab w:val="left" w:pos="5580"/>
        </w:tabs>
        <w:jc w:val="both"/>
        <w:rPr>
          <w:rFonts w:eastAsiaTheme="majorEastAsia" w:cstheme="minorHAnsi"/>
          <w:bCs/>
          <w:szCs w:val="24"/>
        </w:rPr>
      </w:pPr>
      <w:r w:rsidRPr="00124FA8">
        <w:rPr>
          <w:rFonts w:eastAsiaTheme="majorEastAsia" w:cstheme="minorHAnsi"/>
          <w:bCs/>
          <w:szCs w:val="24"/>
        </w:rPr>
        <w:t>uzavrieť nájomné zmluvy najskôr po nadobudnutí právoplatnosti kolaudačného rozhodnutia na bytovú budovu</w:t>
      </w:r>
      <w:r>
        <w:rPr>
          <w:rFonts w:eastAsiaTheme="majorEastAsia" w:cstheme="minorHAnsi"/>
          <w:bCs/>
          <w:szCs w:val="24"/>
        </w:rPr>
        <w:t>.</w:t>
      </w:r>
    </w:p>
    <w:p w14:paraId="2638B22A" w14:textId="77777777" w:rsidR="006A643B" w:rsidRPr="006A643B" w:rsidRDefault="006A643B" w:rsidP="00925B1F">
      <w:pPr>
        <w:tabs>
          <w:tab w:val="left" w:pos="5580"/>
        </w:tabs>
        <w:spacing w:after="0"/>
        <w:ind w:left="360"/>
        <w:jc w:val="both"/>
        <w:rPr>
          <w:rFonts w:eastAsiaTheme="majorEastAsia" w:cstheme="minorHAnsi"/>
          <w:bCs/>
          <w:szCs w:val="24"/>
        </w:rPr>
      </w:pPr>
    </w:p>
    <w:p w14:paraId="2AFE4028" w14:textId="42F7EBDF" w:rsidR="001F2C66" w:rsidRPr="00BF697D" w:rsidRDefault="001F2C66" w:rsidP="00BF697D">
      <w:pPr>
        <w:pStyle w:val="Odsekzoznamu"/>
        <w:numPr>
          <w:ilvl w:val="0"/>
          <w:numId w:val="12"/>
        </w:numPr>
        <w:tabs>
          <w:tab w:val="left" w:pos="5580"/>
        </w:tabs>
        <w:jc w:val="both"/>
        <w:rPr>
          <w:rFonts w:eastAsiaTheme="majorEastAsia" w:cstheme="minorHAnsi"/>
          <w:b/>
          <w:bCs/>
          <w:color w:val="2E74B5" w:themeColor="accent1" w:themeShade="BF"/>
          <w:sz w:val="32"/>
          <w:szCs w:val="32"/>
          <w:u w:val="single"/>
        </w:rPr>
      </w:pPr>
      <w:r w:rsidRPr="00BF697D">
        <w:rPr>
          <w:rFonts w:eastAsiaTheme="majorEastAsia" w:cstheme="minorHAnsi"/>
          <w:b/>
          <w:bCs/>
          <w:color w:val="2E74B5" w:themeColor="accent1" w:themeShade="BF"/>
          <w:sz w:val="32"/>
          <w:szCs w:val="32"/>
          <w:u w:val="single"/>
        </w:rPr>
        <w:lastRenderedPageBreak/>
        <w:t>Asistent bývania</w:t>
      </w:r>
      <w:r w:rsidR="00EB6119">
        <w:rPr>
          <w:rFonts w:eastAsiaTheme="majorEastAsia" w:cstheme="minorHAnsi"/>
          <w:b/>
          <w:bCs/>
          <w:color w:val="2E74B5" w:themeColor="accent1" w:themeShade="BF"/>
          <w:sz w:val="32"/>
          <w:szCs w:val="32"/>
          <w:u w:val="single"/>
        </w:rPr>
        <w:t xml:space="preserve"> </w:t>
      </w:r>
      <w:r w:rsidR="00EB6119" w:rsidRPr="00EB6119">
        <w:rPr>
          <w:rFonts w:eastAsiaTheme="majorEastAsia" w:cstheme="minorHAnsi"/>
          <w:b/>
          <w:bCs/>
          <w:color w:val="2E74B5" w:themeColor="accent1" w:themeShade="BF"/>
          <w:sz w:val="32"/>
          <w:szCs w:val="32"/>
          <w:u w:val="single"/>
        </w:rPr>
        <w:t>(</w:t>
      </w:r>
      <w:proofErr w:type="spellStart"/>
      <w:r w:rsidR="00EB6119" w:rsidRPr="00EB6119">
        <w:rPr>
          <w:rFonts w:eastAsiaTheme="majorEastAsia" w:cstheme="minorHAnsi"/>
          <w:b/>
          <w:bCs/>
          <w:color w:val="2E74B5" w:themeColor="accent1" w:themeShade="BF"/>
          <w:sz w:val="32"/>
          <w:szCs w:val="32"/>
          <w:u w:val="single"/>
        </w:rPr>
        <w:t>kherutno</w:t>
      </w:r>
      <w:proofErr w:type="spellEnd"/>
      <w:r w:rsidR="00EB6119" w:rsidRPr="00EB6119">
        <w:rPr>
          <w:rFonts w:eastAsiaTheme="majorEastAsia" w:cstheme="minorHAnsi"/>
          <w:b/>
          <w:bCs/>
          <w:color w:val="2E74B5" w:themeColor="accent1" w:themeShade="BF"/>
          <w:sz w:val="32"/>
          <w:szCs w:val="32"/>
          <w:u w:val="single"/>
        </w:rPr>
        <w:t>/</w:t>
      </w:r>
      <w:proofErr w:type="spellStart"/>
      <w:r w:rsidR="00EB6119" w:rsidRPr="00EB6119">
        <w:rPr>
          <w:rFonts w:eastAsiaTheme="majorEastAsia" w:cstheme="minorHAnsi"/>
          <w:b/>
          <w:bCs/>
          <w:color w:val="2E74B5" w:themeColor="accent1" w:themeShade="BF"/>
          <w:sz w:val="32"/>
          <w:szCs w:val="32"/>
          <w:u w:val="single"/>
        </w:rPr>
        <w:t>kherutňi</w:t>
      </w:r>
      <w:proofErr w:type="spellEnd"/>
      <w:r w:rsidR="00B22444">
        <w:rPr>
          <w:rStyle w:val="Odkaznapoznmkupodiarou"/>
          <w:rFonts w:eastAsiaTheme="majorEastAsia" w:cstheme="minorHAnsi"/>
          <w:b/>
          <w:bCs/>
          <w:color w:val="2E74B5" w:themeColor="accent1" w:themeShade="BF"/>
          <w:sz w:val="32"/>
          <w:szCs w:val="32"/>
          <w:u w:val="single"/>
        </w:rPr>
        <w:footnoteReference w:id="2"/>
      </w:r>
      <w:r w:rsidR="00EB6119" w:rsidRPr="00EB6119">
        <w:rPr>
          <w:rFonts w:eastAsiaTheme="majorEastAsia" w:cstheme="minorHAnsi"/>
          <w:b/>
          <w:bCs/>
          <w:color w:val="2E74B5" w:themeColor="accent1" w:themeShade="BF"/>
          <w:sz w:val="32"/>
          <w:szCs w:val="32"/>
          <w:u w:val="single"/>
        </w:rPr>
        <w:t>)</w:t>
      </w:r>
    </w:p>
    <w:p w14:paraId="335E75E7" w14:textId="2EA50189" w:rsidR="001F2C66" w:rsidRDefault="001F2C66" w:rsidP="00925B1F">
      <w:pPr>
        <w:autoSpaceDE w:val="0"/>
        <w:autoSpaceDN w:val="0"/>
        <w:adjustRightInd w:val="0"/>
        <w:spacing w:line="240" w:lineRule="auto"/>
        <w:jc w:val="both"/>
      </w:pPr>
      <w:r w:rsidRPr="00051D97">
        <w:t xml:space="preserve">Žiadateľ je </w:t>
      </w:r>
      <w:r w:rsidRPr="001F2C66">
        <w:rPr>
          <w:b/>
        </w:rPr>
        <w:t>povinný zabezpečiť poskytovanie sprievodnej sociálnej služby prostredníctvom asistenta bývania</w:t>
      </w:r>
      <w:r w:rsidR="00E169DD">
        <w:rPr>
          <w:b/>
        </w:rPr>
        <w:t xml:space="preserve"> </w:t>
      </w:r>
      <w:r w:rsidR="00E169DD" w:rsidRPr="00E169DD">
        <w:rPr>
          <w:b/>
        </w:rPr>
        <w:t>(</w:t>
      </w:r>
      <w:proofErr w:type="spellStart"/>
      <w:r w:rsidR="00E169DD" w:rsidRPr="00E169DD">
        <w:rPr>
          <w:b/>
        </w:rPr>
        <w:t>kherutno</w:t>
      </w:r>
      <w:proofErr w:type="spellEnd"/>
      <w:r w:rsidR="00E169DD" w:rsidRPr="00E169DD">
        <w:rPr>
          <w:b/>
        </w:rPr>
        <w:t>/</w:t>
      </w:r>
      <w:proofErr w:type="spellStart"/>
      <w:r w:rsidR="00E169DD" w:rsidRPr="00E169DD">
        <w:rPr>
          <w:b/>
        </w:rPr>
        <w:t>kherutňi</w:t>
      </w:r>
      <w:proofErr w:type="spellEnd"/>
      <w:r w:rsidR="00E169DD" w:rsidRPr="00E169DD">
        <w:rPr>
          <w:b/>
        </w:rPr>
        <w:t>)</w:t>
      </w:r>
      <w:r w:rsidR="00C572E0">
        <w:rPr>
          <w:b/>
        </w:rPr>
        <w:t xml:space="preserve"> </w:t>
      </w:r>
      <w:r w:rsidR="00C572E0" w:rsidRPr="00C84B53">
        <w:rPr>
          <w:bCs/>
        </w:rPr>
        <w:t>(ďalej len „asistent bývania“)</w:t>
      </w:r>
      <w:r w:rsidRPr="00C572E0">
        <w:rPr>
          <w:bCs/>
        </w:rPr>
        <w:t>.</w:t>
      </w:r>
      <w:r w:rsidRPr="00051D97">
        <w:t xml:space="preserve"> Domácnosti</w:t>
      </w:r>
      <w:r>
        <w:t>, ktoré budú bývať v podporených nájomných bytoch</w:t>
      </w:r>
      <w:r w:rsidRPr="00051D97">
        <w:t xml:space="preserve"> musia so sprievodnou sociálnou službou súhlasiť, čo sa zabezpečí súhlasom klienta, a to súhlasom všetkých členov domácností t.</w:t>
      </w:r>
      <w:r>
        <w:t> </w:t>
      </w:r>
      <w:r w:rsidRPr="00051D97">
        <w:t xml:space="preserve">j. plnoletých fyzických osôb, ktoré sú spôsobilé na právne úkony a zákonných zástupcov fyzických osôb, ktoré nie sú spôsobilé na právne úkony (ak relevantné). </w:t>
      </w:r>
    </w:p>
    <w:p w14:paraId="49DDE307" w14:textId="2B144CCA" w:rsidR="001F2C66" w:rsidRPr="00736DAA" w:rsidRDefault="001F2C66" w:rsidP="00925B1F">
      <w:pPr>
        <w:autoSpaceDE w:val="0"/>
        <w:autoSpaceDN w:val="0"/>
        <w:adjustRightInd w:val="0"/>
        <w:spacing w:line="240" w:lineRule="auto"/>
        <w:jc w:val="both"/>
        <w:rPr>
          <w:rFonts w:cstheme="minorHAnsi"/>
          <w:b/>
        </w:rPr>
      </w:pPr>
      <w:r w:rsidRPr="00736DAA">
        <w:rPr>
          <w:rFonts w:cstheme="minorHAnsi"/>
          <w:b/>
        </w:rPr>
        <w:t>Cieľom zavedenia pozície asistenta bývania</w:t>
      </w:r>
      <w:r w:rsidR="00C9307E">
        <w:rPr>
          <w:rFonts w:cstheme="minorHAnsi"/>
          <w:b/>
        </w:rPr>
        <w:t xml:space="preserve"> </w:t>
      </w:r>
      <w:r w:rsidRPr="00736DAA">
        <w:rPr>
          <w:rFonts w:cstheme="minorHAnsi"/>
          <w:b/>
        </w:rPr>
        <w:t>v projekte je:</w:t>
      </w:r>
    </w:p>
    <w:p w14:paraId="605B61A7" w14:textId="77777777" w:rsidR="001F2C66" w:rsidRPr="003A0B65" w:rsidRDefault="001F2C66" w:rsidP="00925B1F">
      <w:pPr>
        <w:pStyle w:val="Odsekzoznamu"/>
        <w:numPr>
          <w:ilvl w:val="0"/>
          <w:numId w:val="43"/>
        </w:numPr>
        <w:autoSpaceDE w:val="0"/>
        <w:autoSpaceDN w:val="0"/>
        <w:adjustRightInd w:val="0"/>
        <w:spacing w:after="200" w:line="240" w:lineRule="auto"/>
        <w:jc w:val="both"/>
      </w:pPr>
      <w:r w:rsidRPr="003A0B65">
        <w:rPr>
          <w:rFonts w:cstheme="minorHAnsi"/>
        </w:rPr>
        <w:t>podporovať a zlepšovať podmienky bývania prostredníctvom ním poskytovaných služieb,</w:t>
      </w:r>
    </w:p>
    <w:p w14:paraId="2CBE22E7" w14:textId="77777777" w:rsidR="001F2C66" w:rsidRPr="003A0B65" w:rsidRDefault="001F2C66" w:rsidP="00925B1F">
      <w:pPr>
        <w:pStyle w:val="Odsekzoznamu"/>
        <w:numPr>
          <w:ilvl w:val="0"/>
          <w:numId w:val="43"/>
        </w:numPr>
        <w:autoSpaceDE w:val="0"/>
        <w:autoSpaceDN w:val="0"/>
        <w:adjustRightInd w:val="0"/>
        <w:spacing w:after="200" w:line="240" w:lineRule="auto"/>
        <w:jc w:val="both"/>
      </w:pPr>
      <w:r w:rsidRPr="003A0B65">
        <w:rPr>
          <w:rFonts w:cstheme="minorHAnsi"/>
        </w:rPr>
        <w:t>vybudovať a udržiavať kvalitné spolunažívanie obyvateľov v rámci celej sídelnej komunity,</w:t>
      </w:r>
    </w:p>
    <w:p w14:paraId="154DCC97" w14:textId="77777777" w:rsidR="001F2C66" w:rsidRPr="003A0B65" w:rsidRDefault="001F2C66" w:rsidP="00925B1F">
      <w:pPr>
        <w:pStyle w:val="Odsekzoznamu"/>
        <w:numPr>
          <w:ilvl w:val="0"/>
          <w:numId w:val="43"/>
        </w:numPr>
        <w:autoSpaceDE w:val="0"/>
        <w:autoSpaceDN w:val="0"/>
        <w:adjustRightInd w:val="0"/>
        <w:spacing w:after="200" w:line="240" w:lineRule="auto"/>
        <w:jc w:val="both"/>
      </w:pPr>
      <w:r w:rsidRPr="003A0B65">
        <w:rPr>
          <w:rFonts w:cstheme="minorHAnsi"/>
        </w:rPr>
        <w:t xml:space="preserve">motivovať užívateľov sociálneho bývania zveľaďovať a skrášľovať okolité prostredie pri obytných domoch a poskytovať podporu v environmentálnej oblasti (predchádzanie čiernym skládkam, separácia odpadu, rozširovanie zelene v okolí a pod.), </w:t>
      </w:r>
    </w:p>
    <w:p w14:paraId="64AE7A12" w14:textId="77777777" w:rsidR="001F2C66" w:rsidRPr="003A0B65" w:rsidRDefault="001F2C66" w:rsidP="00925B1F">
      <w:pPr>
        <w:pStyle w:val="Odsekzoznamu"/>
        <w:numPr>
          <w:ilvl w:val="0"/>
          <w:numId w:val="43"/>
        </w:numPr>
        <w:autoSpaceDE w:val="0"/>
        <w:autoSpaceDN w:val="0"/>
        <w:adjustRightInd w:val="0"/>
        <w:spacing w:after="200" w:line="240" w:lineRule="auto"/>
        <w:jc w:val="both"/>
      </w:pPr>
      <w:r>
        <w:rPr>
          <w:rFonts w:cstheme="minorHAnsi"/>
        </w:rPr>
        <w:t xml:space="preserve">podporovať dodržiavanie platobnej </w:t>
      </w:r>
      <w:r w:rsidRPr="003A0B65">
        <w:rPr>
          <w:rFonts w:cstheme="minorHAnsi"/>
        </w:rPr>
        <w:t>disciplín</w:t>
      </w:r>
      <w:r>
        <w:rPr>
          <w:rFonts w:cstheme="minorHAnsi"/>
        </w:rPr>
        <w:t>y za riadne užívanie bytu</w:t>
      </w:r>
      <w:r w:rsidRPr="003A0B65">
        <w:rPr>
          <w:rFonts w:cstheme="minorHAnsi"/>
        </w:rPr>
        <w:t>.</w:t>
      </w:r>
    </w:p>
    <w:p w14:paraId="148DEDBE" w14:textId="4D62255A" w:rsidR="001F2C66" w:rsidRPr="00051D97" w:rsidRDefault="001F2C66" w:rsidP="00925B1F">
      <w:pPr>
        <w:autoSpaceDE w:val="0"/>
        <w:autoSpaceDN w:val="0"/>
        <w:adjustRightInd w:val="0"/>
        <w:spacing w:line="240" w:lineRule="auto"/>
        <w:jc w:val="both"/>
      </w:pPr>
      <w:r w:rsidRPr="00051D97">
        <w:t>Sprievodná sociálna služba môže byť poskytovaná prostredníctvom pracovníka v oblasti sociálnych služieb, ktorý už je zamestnancom žiadateľa, alebo prostredníctvom asistenta bývania, ktorého žiadateľ zamestná na základe podmienok výzvy</w:t>
      </w:r>
      <w:r w:rsidR="00611E80">
        <w:t xml:space="preserve"> alebo </w:t>
      </w:r>
      <w:r w:rsidR="00611E80">
        <w:rPr>
          <w:rFonts w:cstheme="minorHAnsi"/>
          <w:color w:val="000000" w:themeColor="text1"/>
        </w:rPr>
        <w:t xml:space="preserve">ktorého žiadateľ </w:t>
      </w:r>
      <w:r w:rsidR="00611E80" w:rsidRPr="008A7202">
        <w:rPr>
          <w:rFonts w:cstheme="minorHAnsi"/>
          <w:color w:val="000000" w:themeColor="text1"/>
        </w:rPr>
        <w:t>obstar</w:t>
      </w:r>
      <w:r w:rsidR="00611E80">
        <w:rPr>
          <w:rFonts w:cstheme="minorHAnsi"/>
          <w:color w:val="000000" w:themeColor="text1"/>
        </w:rPr>
        <w:t>á</w:t>
      </w:r>
      <w:r w:rsidR="00611E80" w:rsidRPr="008A7202">
        <w:rPr>
          <w:rFonts w:cstheme="minorHAnsi"/>
          <w:color w:val="000000" w:themeColor="text1"/>
        </w:rPr>
        <w:t xml:space="preserve"> dodávateľským spôsobom</w:t>
      </w:r>
      <w:r>
        <w:t xml:space="preserve">. </w:t>
      </w:r>
      <w:r w:rsidRPr="00051D97">
        <w:t xml:space="preserve">Náklady na výkon činnosti asistenta bývania, ktorého v zmysle nižšie uvedených pravidiel žiadateľ zamestná, </w:t>
      </w:r>
      <w:r>
        <w:t xml:space="preserve">sú </w:t>
      </w:r>
      <w:r w:rsidRPr="00051D97">
        <w:t xml:space="preserve">financované z projektu. </w:t>
      </w:r>
    </w:p>
    <w:p w14:paraId="23E64666" w14:textId="77777777" w:rsidR="001F2C66" w:rsidRPr="00051D97" w:rsidRDefault="001F2C66" w:rsidP="00925B1F">
      <w:pPr>
        <w:autoSpaceDE w:val="0"/>
        <w:autoSpaceDN w:val="0"/>
        <w:adjustRightInd w:val="0"/>
        <w:spacing w:line="240" w:lineRule="auto"/>
        <w:jc w:val="both"/>
      </w:pPr>
      <w:r w:rsidRPr="00051D97">
        <w:t xml:space="preserve">Pracovník v oblasti sociálnych služieb ako aj asistent bývania, sa pre účely tohto dokumentu ďalej uvádza pojmom „asistent bývania“. </w:t>
      </w:r>
    </w:p>
    <w:p w14:paraId="4DF78392" w14:textId="411D557E" w:rsidR="00BF1280" w:rsidRDefault="00BF1280" w:rsidP="00925B1F">
      <w:pPr>
        <w:autoSpaceDE w:val="0"/>
        <w:autoSpaceDN w:val="0"/>
        <w:adjustRightInd w:val="0"/>
        <w:spacing w:line="240" w:lineRule="auto"/>
        <w:jc w:val="both"/>
      </w:pPr>
      <w:r w:rsidRPr="00BF1280">
        <w:t xml:space="preserve">Žiadateľ/prijímateľ je </w:t>
      </w:r>
      <w:r w:rsidRPr="00EA246D">
        <w:rPr>
          <w:b/>
          <w:bCs/>
        </w:rPr>
        <w:t>povinný</w:t>
      </w:r>
      <w:r w:rsidR="001F118B">
        <w:rPr>
          <w:b/>
          <w:bCs/>
        </w:rPr>
        <w:t xml:space="preserve"> </w:t>
      </w:r>
      <w:r w:rsidRPr="00EA246D">
        <w:rPr>
          <w:b/>
          <w:bCs/>
        </w:rPr>
        <w:t>zamestnať</w:t>
      </w:r>
      <w:r w:rsidRPr="00BF1280">
        <w:t xml:space="preserve">, resp. určiť asistenta bývania alebo ho obstarať dodávateľským spôsobom </w:t>
      </w:r>
      <w:r w:rsidRPr="00EA246D">
        <w:rPr>
          <w:b/>
          <w:bCs/>
        </w:rPr>
        <w:t xml:space="preserve">najskôr v deň začatia stavebných prác, najneskôr však v deň ukončenia stavebných prác </w:t>
      </w:r>
      <w:r w:rsidRPr="00BF1280">
        <w:t>na stavbu podporenú v tejto výzve</w:t>
      </w:r>
      <w:r w:rsidR="007D3803" w:rsidRPr="00791E0E">
        <w:t>.</w:t>
      </w:r>
      <w:r w:rsidR="00791E0E" w:rsidRPr="00791E0E">
        <w:t xml:space="preserve"> </w:t>
      </w:r>
      <w:r w:rsidR="00791E0E" w:rsidRPr="00C84B53">
        <w:rPr>
          <w:bCs/>
        </w:rPr>
        <w:t xml:space="preserve">Pre projekty, ktoré </w:t>
      </w:r>
      <w:r w:rsidR="00791E0E" w:rsidRPr="00C84B53">
        <w:rPr>
          <w:b/>
          <w:bCs/>
        </w:rPr>
        <w:t>k</w:t>
      </w:r>
      <w:r w:rsidR="00791E0E" w:rsidRPr="00791E0E">
        <w:rPr>
          <w:b/>
          <w:bCs/>
        </w:rPr>
        <w:t> </w:t>
      </w:r>
      <w:r w:rsidR="00791E0E" w:rsidRPr="00C84B53">
        <w:rPr>
          <w:b/>
          <w:bCs/>
        </w:rPr>
        <w:t>30.6.2029</w:t>
      </w:r>
      <w:r w:rsidR="00791E0E" w:rsidRPr="00C84B53">
        <w:rPr>
          <w:bCs/>
        </w:rPr>
        <w:t xml:space="preserve"> nemajú ukončené stavebné práce na stavbu podporenú v tejto výzve, platí povinnosť zamestnať, resp. určiť asistenta bývania alebo ho obstarať dodávateľským spôsobom najneskôr k termínu 1.7.2029</w:t>
      </w:r>
      <w:r w:rsidR="00791E0E">
        <w:rPr>
          <w:rStyle w:val="Odkaznapoznmkupodiarou"/>
          <w:bCs/>
        </w:rPr>
        <w:footnoteReference w:id="3"/>
      </w:r>
      <w:r w:rsidR="00791E0E">
        <w:rPr>
          <w:bCs/>
        </w:rPr>
        <w:t>.</w:t>
      </w:r>
    </w:p>
    <w:p w14:paraId="0CBD9511" w14:textId="77777777" w:rsidR="001F2C66" w:rsidRDefault="001F2C66" w:rsidP="00925B1F">
      <w:pPr>
        <w:autoSpaceDE w:val="0"/>
        <w:autoSpaceDN w:val="0"/>
        <w:adjustRightInd w:val="0"/>
        <w:spacing w:line="240" w:lineRule="auto"/>
        <w:jc w:val="both"/>
      </w:pPr>
      <w:r w:rsidRPr="00051D97">
        <w:t>Výkon činnosti asistenta bývania je poskytovaný jednotlivým domácnostiam bezodplatne.</w:t>
      </w:r>
    </w:p>
    <w:p w14:paraId="452956D7" w14:textId="667C3490" w:rsidR="001F2C66" w:rsidRPr="00596C7D" w:rsidRDefault="001F2C66" w:rsidP="00925B1F">
      <w:pPr>
        <w:autoSpaceDE w:val="0"/>
        <w:autoSpaceDN w:val="0"/>
        <w:adjustRightInd w:val="0"/>
        <w:spacing w:line="240" w:lineRule="auto"/>
        <w:jc w:val="both"/>
        <w:rPr>
          <w:color w:val="FF0000"/>
        </w:rPr>
      </w:pPr>
      <w:r w:rsidRPr="00832602">
        <w:t xml:space="preserve">Žiadateľ je </w:t>
      </w:r>
      <w:r w:rsidRPr="001F2C66">
        <w:rPr>
          <w:b/>
        </w:rPr>
        <w:t>povinný zabezpečiť</w:t>
      </w:r>
      <w:r w:rsidRPr="00832602">
        <w:t xml:space="preserve"> poskytovanie sprievodnej sociálnej služby prostredníctvom asistenta </w:t>
      </w:r>
      <w:r w:rsidRPr="00EA142C">
        <w:t xml:space="preserve">bývania </w:t>
      </w:r>
      <w:r w:rsidRPr="00EA142C">
        <w:rPr>
          <w:b/>
        </w:rPr>
        <w:t>do 31.12.2029</w:t>
      </w:r>
      <w:r w:rsidRPr="00EA142C">
        <w:t>.</w:t>
      </w:r>
    </w:p>
    <w:p w14:paraId="30BD9014" w14:textId="7D28C9EF" w:rsidR="00C60251" w:rsidRDefault="001F2C66" w:rsidP="00925B1F">
      <w:pPr>
        <w:autoSpaceDE w:val="0"/>
        <w:autoSpaceDN w:val="0"/>
        <w:adjustRightInd w:val="0"/>
        <w:spacing w:line="240" w:lineRule="auto"/>
        <w:jc w:val="both"/>
      </w:pPr>
      <w:r>
        <w:t xml:space="preserve">Ďalšie podrobnosti týkajúce sa pozície asistenta bývania upravuje Príloha č. </w:t>
      </w:r>
      <w:r w:rsidR="00BB777A">
        <w:t>3</w:t>
      </w:r>
      <w:r>
        <w:t xml:space="preserve"> – Zoznam oprávnených výdavkov. </w:t>
      </w:r>
    </w:p>
    <w:p w14:paraId="77F32FE0" w14:textId="2BCC824C" w:rsidR="00C60251" w:rsidRPr="00BF697D" w:rsidRDefault="00C60251" w:rsidP="00925B1F">
      <w:pPr>
        <w:autoSpaceDE w:val="0"/>
        <w:autoSpaceDN w:val="0"/>
        <w:adjustRightInd w:val="0"/>
        <w:spacing w:line="240" w:lineRule="auto"/>
        <w:jc w:val="both"/>
        <w:rPr>
          <w:b/>
        </w:rPr>
      </w:pPr>
      <w:r w:rsidRPr="00BF697D">
        <w:rPr>
          <w:b/>
        </w:rPr>
        <w:t>Asistent bývania</w:t>
      </w:r>
      <w:r w:rsidR="00FE72C5">
        <w:rPr>
          <w:b/>
        </w:rPr>
        <w:t xml:space="preserve"> </w:t>
      </w:r>
      <w:r w:rsidRPr="00BF697D">
        <w:rPr>
          <w:b/>
        </w:rPr>
        <w:t xml:space="preserve">vykonáva najmä nasledovné činnosti: </w:t>
      </w:r>
    </w:p>
    <w:p w14:paraId="4780966A" w14:textId="77777777" w:rsidR="00C60251" w:rsidRDefault="00C60251" w:rsidP="00BF697D">
      <w:pPr>
        <w:autoSpaceDE w:val="0"/>
        <w:autoSpaceDN w:val="0"/>
        <w:adjustRightInd w:val="0"/>
        <w:spacing w:after="0" w:line="240" w:lineRule="auto"/>
        <w:ind w:left="567" w:hanging="283"/>
        <w:jc w:val="both"/>
      </w:pPr>
      <w:r>
        <w:t>•</w:t>
      </w:r>
      <w:r>
        <w:tab/>
        <w:t>aktívne vyhľadávanie, motivovanie a kontaktovanie potenciálnych budúcich klientov, ktorí budú zapojení do sociálneho bývania,</w:t>
      </w:r>
    </w:p>
    <w:p w14:paraId="2B174C08" w14:textId="77777777" w:rsidR="00C60251" w:rsidRDefault="00C60251" w:rsidP="00BF697D">
      <w:pPr>
        <w:autoSpaceDE w:val="0"/>
        <w:autoSpaceDN w:val="0"/>
        <w:adjustRightInd w:val="0"/>
        <w:spacing w:after="0" w:line="240" w:lineRule="auto"/>
        <w:ind w:left="567" w:hanging="283"/>
        <w:jc w:val="both"/>
      </w:pPr>
      <w:r>
        <w:t>•</w:t>
      </w:r>
      <w:r>
        <w:tab/>
        <w:t xml:space="preserve">spolupracuje s komisiami zriadenými pri obecnom zastupiteľstve najmä so sociálnou a bytovou komisiou alebo s kompetentnou osobou za danú oblasť, </w:t>
      </w:r>
    </w:p>
    <w:p w14:paraId="37CC9B7C" w14:textId="77777777" w:rsidR="00C60251" w:rsidRDefault="00C60251" w:rsidP="00BF697D">
      <w:pPr>
        <w:autoSpaceDE w:val="0"/>
        <w:autoSpaceDN w:val="0"/>
        <w:adjustRightInd w:val="0"/>
        <w:spacing w:after="0" w:line="240" w:lineRule="auto"/>
        <w:ind w:left="567" w:hanging="283"/>
        <w:jc w:val="both"/>
      </w:pPr>
      <w:r>
        <w:t>•</w:t>
      </w:r>
      <w:r>
        <w:tab/>
        <w:t>aktívne sa zúčastňuje na stretnutiach v rámci obce týkajúcich sa bývania,</w:t>
      </w:r>
    </w:p>
    <w:p w14:paraId="3F75AFF3" w14:textId="77777777" w:rsidR="00C60251" w:rsidRDefault="00C60251" w:rsidP="00BF697D">
      <w:pPr>
        <w:autoSpaceDE w:val="0"/>
        <w:autoSpaceDN w:val="0"/>
        <w:adjustRightInd w:val="0"/>
        <w:spacing w:after="0" w:line="240" w:lineRule="auto"/>
        <w:ind w:left="567" w:hanging="283"/>
        <w:jc w:val="both"/>
      </w:pPr>
      <w:r>
        <w:t>•</w:t>
      </w:r>
      <w:r>
        <w:tab/>
        <w:t>spolupracuje s relevantnými inštitúciami pri analýze a riešení sociálnej situácie klienta sociálneho bývania,</w:t>
      </w:r>
    </w:p>
    <w:p w14:paraId="20EBD732" w14:textId="77777777" w:rsidR="00C60251" w:rsidRDefault="00C60251" w:rsidP="00BF697D">
      <w:pPr>
        <w:autoSpaceDE w:val="0"/>
        <w:autoSpaceDN w:val="0"/>
        <w:adjustRightInd w:val="0"/>
        <w:spacing w:after="0" w:line="240" w:lineRule="auto"/>
        <w:ind w:left="567" w:hanging="283"/>
        <w:jc w:val="both"/>
      </w:pPr>
      <w:r>
        <w:lastRenderedPageBreak/>
        <w:t>•</w:t>
      </w:r>
      <w:r>
        <w:tab/>
        <w:t>vytvára a udržiava strategické partnerstvá a korektné vzťahy s jednotlivcami, organizáciami a inštitúciami,</w:t>
      </w:r>
    </w:p>
    <w:p w14:paraId="12AB4B72" w14:textId="77777777" w:rsidR="00C60251" w:rsidRDefault="00C60251" w:rsidP="00BF697D">
      <w:pPr>
        <w:autoSpaceDE w:val="0"/>
        <w:autoSpaceDN w:val="0"/>
        <w:adjustRightInd w:val="0"/>
        <w:spacing w:after="0" w:line="240" w:lineRule="auto"/>
        <w:ind w:left="567" w:hanging="283"/>
        <w:jc w:val="both"/>
      </w:pPr>
      <w:r>
        <w:t>•</w:t>
      </w:r>
      <w:r>
        <w:tab/>
        <w:t>pomáha k predídeniu poškodenia majetku nadobudnutého z NFP,</w:t>
      </w:r>
    </w:p>
    <w:p w14:paraId="507A0352" w14:textId="77777777" w:rsidR="00C60251" w:rsidRDefault="00C60251" w:rsidP="00BF697D">
      <w:pPr>
        <w:autoSpaceDE w:val="0"/>
        <w:autoSpaceDN w:val="0"/>
        <w:adjustRightInd w:val="0"/>
        <w:spacing w:after="0" w:line="240" w:lineRule="auto"/>
        <w:ind w:left="567" w:hanging="283"/>
        <w:jc w:val="both"/>
      </w:pPr>
      <w:r>
        <w:t>•</w:t>
      </w:r>
      <w:r>
        <w:tab/>
        <w:t>dohliada na ochranu verejného majetku pred poškodzovaním (znečisťovanie spoločných priestorov v bytových domoch, vandalizmus, t. z. úmyselné poškodzovanie verejno-prospešných zariadení...),</w:t>
      </w:r>
    </w:p>
    <w:p w14:paraId="73DE2F63" w14:textId="77777777" w:rsidR="00C60251" w:rsidRDefault="00C60251" w:rsidP="00BF697D">
      <w:pPr>
        <w:autoSpaceDE w:val="0"/>
        <w:autoSpaceDN w:val="0"/>
        <w:adjustRightInd w:val="0"/>
        <w:spacing w:after="0" w:line="240" w:lineRule="auto"/>
        <w:ind w:left="567" w:hanging="283"/>
        <w:jc w:val="both"/>
      </w:pPr>
      <w:r>
        <w:t>•</w:t>
      </w:r>
      <w:r>
        <w:tab/>
        <w:t>pomáha pri komunikácii medzi klientom sociálneho bývania a relevantnými inštitúciami,</w:t>
      </w:r>
    </w:p>
    <w:p w14:paraId="2DCCD78F" w14:textId="77777777" w:rsidR="00C60251" w:rsidRDefault="00C60251" w:rsidP="00BF697D">
      <w:pPr>
        <w:autoSpaceDE w:val="0"/>
        <w:autoSpaceDN w:val="0"/>
        <w:adjustRightInd w:val="0"/>
        <w:spacing w:after="0" w:line="240" w:lineRule="auto"/>
        <w:ind w:left="567" w:hanging="283"/>
        <w:jc w:val="both"/>
      </w:pPr>
      <w:r>
        <w:t>•</w:t>
      </w:r>
      <w:r>
        <w:tab/>
        <w:t>motivuje domácnosti klientov sociálneho bývania k dodržiavaniu podmienok dohodnutých v nájomnej zmluve,</w:t>
      </w:r>
    </w:p>
    <w:p w14:paraId="267666B0" w14:textId="77777777" w:rsidR="00C60251" w:rsidRDefault="00C60251" w:rsidP="00BF697D">
      <w:pPr>
        <w:autoSpaceDE w:val="0"/>
        <w:autoSpaceDN w:val="0"/>
        <w:adjustRightInd w:val="0"/>
        <w:spacing w:after="0" w:line="240" w:lineRule="auto"/>
        <w:ind w:left="567" w:hanging="283"/>
        <w:jc w:val="both"/>
      </w:pPr>
      <w:r>
        <w:t>•</w:t>
      </w:r>
      <w:r>
        <w:tab/>
        <w:t>vysvetľuje klientom sociálneho bývania podmienky dohodnuté v nájomnej zmluve,</w:t>
      </w:r>
    </w:p>
    <w:p w14:paraId="57412DBD" w14:textId="274E2A55" w:rsidR="00C60251" w:rsidRDefault="00C60251" w:rsidP="00BF697D">
      <w:pPr>
        <w:autoSpaceDE w:val="0"/>
        <w:autoSpaceDN w:val="0"/>
        <w:adjustRightInd w:val="0"/>
        <w:spacing w:after="0" w:line="240" w:lineRule="auto"/>
        <w:ind w:left="567" w:hanging="283"/>
        <w:jc w:val="both"/>
      </w:pPr>
      <w:r>
        <w:t>•</w:t>
      </w:r>
      <w:r>
        <w:tab/>
        <w:t>asistuje a poskytuje pomoc a rady klientom sociálneho bývania pri prevádzke domácnosti,</w:t>
      </w:r>
    </w:p>
    <w:p w14:paraId="71A5B5D6" w14:textId="77777777" w:rsidR="00C60251" w:rsidRDefault="00C60251" w:rsidP="00BF697D">
      <w:pPr>
        <w:autoSpaceDE w:val="0"/>
        <w:autoSpaceDN w:val="0"/>
        <w:adjustRightInd w:val="0"/>
        <w:spacing w:after="0" w:line="240" w:lineRule="auto"/>
        <w:ind w:left="567" w:hanging="283"/>
        <w:jc w:val="both"/>
      </w:pPr>
      <w:r>
        <w:t>•</w:t>
      </w:r>
      <w:r>
        <w:tab/>
        <w:t>poskytuje podporu pri zapojení sa členov domácností klientov sociálneho bývania do výkonu povinností spojených s užívaním nájomného bytu,</w:t>
      </w:r>
    </w:p>
    <w:p w14:paraId="7D3DD68A" w14:textId="77777777" w:rsidR="00C60251" w:rsidRDefault="00C60251" w:rsidP="00BF697D">
      <w:pPr>
        <w:autoSpaceDE w:val="0"/>
        <w:autoSpaceDN w:val="0"/>
        <w:adjustRightInd w:val="0"/>
        <w:spacing w:after="0" w:line="240" w:lineRule="auto"/>
        <w:ind w:left="567" w:hanging="283"/>
        <w:jc w:val="both"/>
      </w:pPr>
      <w:r>
        <w:t>•</w:t>
      </w:r>
      <w:r>
        <w:tab/>
        <w:t>poskytuje pomoc pri hospodárení s peniazmi klientom sociálneho bývania,</w:t>
      </w:r>
    </w:p>
    <w:p w14:paraId="485C5974" w14:textId="77777777" w:rsidR="00C60251" w:rsidRDefault="00C60251" w:rsidP="00BF697D">
      <w:pPr>
        <w:autoSpaceDE w:val="0"/>
        <w:autoSpaceDN w:val="0"/>
        <w:adjustRightInd w:val="0"/>
        <w:spacing w:after="0" w:line="240" w:lineRule="auto"/>
        <w:ind w:left="567" w:hanging="283"/>
        <w:jc w:val="both"/>
      </w:pPr>
      <w:r>
        <w:t>•</w:t>
      </w:r>
      <w:r>
        <w:tab/>
        <w:t>pomáha predchádzať krízovým situáciám klientom sociálneho bývania,</w:t>
      </w:r>
    </w:p>
    <w:p w14:paraId="19E09195" w14:textId="77777777" w:rsidR="00C60251" w:rsidRDefault="00C60251" w:rsidP="00BF697D">
      <w:pPr>
        <w:autoSpaceDE w:val="0"/>
        <w:autoSpaceDN w:val="0"/>
        <w:adjustRightInd w:val="0"/>
        <w:spacing w:after="0" w:line="240" w:lineRule="auto"/>
        <w:ind w:left="567" w:hanging="283"/>
        <w:jc w:val="both"/>
      </w:pPr>
      <w:r>
        <w:t>•</w:t>
      </w:r>
      <w:r>
        <w:tab/>
        <w:t>asistuje klientom pri hľadaní riešenia krízových situácií súvisiacich so sociálnym bývaním,</w:t>
      </w:r>
    </w:p>
    <w:p w14:paraId="573DBDD2" w14:textId="77777777" w:rsidR="00C60251" w:rsidRDefault="00C60251" w:rsidP="00BF697D">
      <w:pPr>
        <w:autoSpaceDE w:val="0"/>
        <w:autoSpaceDN w:val="0"/>
        <w:adjustRightInd w:val="0"/>
        <w:spacing w:after="0" w:line="240" w:lineRule="auto"/>
        <w:ind w:left="567" w:hanging="283"/>
        <w:jc w:val="both"/>
      </w:pPr>
      <w:r>
        <w:t>•</w:t>
      </w:r>
      <w:r>
        <w:tab/>
        <w:t>podporuje samostatné bývanie, nezávislosť a sebestačnosť členov domácností klientov sociálneho bývania,</w:t>
      </w:r>
    </w:p>
    <w:p w14:paraId="76A80012" w14:textId="77777777" w:rsidR="00C60251" w:rsidRDefault="00C60251" w:rsidP="00BF697D">
      <w:pPr>
        <w:autoSpaceDE w:val="0"/>
        <w:autoSpaceDN w:val="0"/>
        <w:adjustRightInd w:val="0"/>
        <w:spacing w:after="0" w:line="240" w:lineRule="auto"/>
        <w:ind w:left="567" w:hanging="283"/>
        <w:jc w:val="both"/>
      </w:pPr>
      <w:r>
        <w:t>•</w:t>
      </w:r>
      <w:r>
        <w:tab/>
        <w:t>monitoruje a aktívne rieši prípady podozrení z nelegálneho odberu elektrickej energie klientmi sociálneho bývania,</w:t>
      </w:r>
    </w:p>
    <w:p w14:paraId="2617AA20" w14:textId="77777777" w:rsidR="00C60251" w:rsidRDefault="00C60251" w:rsidP="00BF697D">
      <w:pPr>
        <w:autoSpaceDE w:val="0"/>
        <w:autoSpaceDN w:val="0"/>
        <w:adjustRightInd w:val="0"/>
        <w:spacing w:after="0" w:line="240" w:lineRule="auto"/>
        <w:ind w:left="567" w:hanging="283"/>
        <w:jc w:val="both"/>
      </w:pPr>
      <w:r>
        <w:t>•</w:t>
      </w:r>
      <w:r>
        <w:tab/>
        <w:t>poskytuje základné informácie v oblasti prevencie ochrany zdravia a hygieny klientom sociálneho bývania,</w:t>
      </w:r>
    </w:p>
    <w:p w14:paraId="74E66391" w14:textId="77777777" w:rsidR="00C60251" w:rsidRDefault="00C60251" w:rsidP="00BF697D">
      <w:pPr>
        <w:autoSpaceDE w:val="0"/>
        <w:autoSpaceDN w:val="0"/>
        <w:adjustRightInd w:val="0"/>
        <w:spacing w:after="0" w:line="240" w:lineRule="auto"/>
        <w:ind w:left="567" w:hanging="283"/>
        <w:jc w:val="both"/>
      </w:pPr>
      <w:r>
        <w:t>•</w:t>
      </w:r>
      <w:r>
        <w:tab/>
        <w:t>podporuje zapojenie klientov sociálneho bývania do spoločenského a pracovného života,</w:t>
      </w:r>
    </w:p>
    <w:p w14:paraId="458698A1" w14:textId="77777777" w:rsidR="00C60251" w:rsidRDefault="00C60251" w:rsidP="00BF697D">
      <w:pPr>
        <w:autoSpaceDE w:val="0"/>
        <w:autoSpaceDN w:val="0"/>
        <w:adjustRightInd w:val="0"/>
        <w:spacing w:after="0" w:line="240" w:lineRule="auto"/>
        <w:ind w:left="567" w:hanging="283"/>
        <w:jc w:val="both"/>
      </w:pPr>
      <w:r>
        <w:t>•</w:t>
      </w:r>
      <w:r>
        <w:tab/>
        <w:t>podporuje rozvoj osobných záujmov klientov sociálneho bývania,</w:t>
      </w:r>
    </w:p>
    <w:p w14:paraId="579A2224" w14:textId="77777777" w:rsidR="00C60251" w:rsidRDefault="00C60251" w:rsidP="00BF697D">
      <w:pPr>
        <w:autoSpaceDE w:val="0"/>
        <w:autoSpaceDN w:val="0"/>
        <w:adjustRightInd w:val="0"/>
        <w:spacing w:after="0" w:line="240" w:lineRule="auto"/>
        <w:ind w:left="567" w:hanging="283"/>
        <w:jc w:val="both"/>
      </w:pPr>
      <w:r>
        <w:t>•</w:t>
      </w:r>
      <w:r>
        <w:tab/>
        <w:t>podporuje klientov sociálneho bývania ku spoločensky primeranému správaniu,</w:t>
      </w:r>
    </w:p>
    <w:p w14:paraId="4F1CAE1F" w14:textId="77777777" w:rsidR="00C60251" w:rsidRDefault="00C60251" w:rsidP="00BF697D">
      <w:pPr>
        <w:autoSpaceDE w:val="0"/>
        <w:autoSpaceDN w:val="0"/>
        <w:adjustRightInd w:val="0"/>
        <w:spacing w:after="0" w:line="240" w:lineRule="auto"/>
        <w:ind w:left="567" w:hanging="283"/>
        <w:jc w:val="both"/>
      </w:pPr>
      <w:r>
        <w:t>•</w:t>
      </w:r>
      <w:r>
        <w:tab/>
        <w:t>upozorňuje klientov sociálneho bývania na správne nakladanie s komunálnym odpadom a v prípade porušenia podporuje prijímanie opatrení na zabránenie protiprávneho konania,</w:t>
      </w:r>
    </w:p>
    <w:p w14:paraId="1A50BC72" w14:textId="77777777" w:rsidR="00C60251" w:rsidRDefault="00C60251" w:rsidP="00BF697D">
      <w:pPr>
        <w:autoSpaceDE w:val="0"/>
        <w:autoSpaceDN w:val="0"/>
        <w:adjustRightInd w:val="0"/>
        <w:spacing w:after="0" w:line="240" w:lineRule="auto"/>
        <w:ind w:left="567" w:hanging="283"/>
        <w:jc w:val="both"/>
      </w:pPr>
      <w:r>
        <w:t>•</w:t>
      </w:r>
      <w:r>
        <w:tab/>
        <w:t>poskytuje pomoc pri získaní príspevku na bývanie pre klientov sociálneho bývania,</w:t>
      </w:r>
    </w:p>
    <w:p w14:paraId="055AC126" w14:textId="265A2B72" w:rsidR="00C60251" w:rsidRDefault="00C60251" w:rsidP="00BF697D">
      <w:pPr>
        <w:autoSpaceDE w:val="0"/>
        <w:autoSpaceDN w:val="0"/>
        <w:adjustRightInd w:val="0"/>
        <w:spacing w:after="0" w:line="240" w:lineRule="auto"/>
        <w:ind w:left="567" w:hanging="283"/>
        <w:jc w:val="both"/>
      </w:pPr>
      <w:r>
        <w:t>•</w:t>
      </w:r>
      <w:r>
        <w:tab/>
        <w:t>vykonáva ďalšie činnosti, ktoré vyplynú z aktuálnych potrieb klientov a žiadateľa/prijímateľa.</w:t>
      </w:r>
    </w:p>
    <w:p w14:paraId="096FF537" w14:textId="77777777" w:rsidR="00C60251" w:rsidRDefault="00C60251" w:rsidP="00925B1F">
      <w:pPr>
        <w:autoSpaceDE w:val="0"/>
        <w:autoSpaceDN w:val="0"/>
        <w:adjustRightInd w:val="0"/>
        <w:spacing w:line="240" w:lineRule="auto"/>
        <w:jc w:val="both"/>
      </w:pPr>
    </w:p>
    <w:p w14:paraId="7E744208" w14:textId="77777777" w:rsidR="00AD47C6" w:rsidRPr="001F2C66" w:rsidRDefault="00AD47C6" w:rsidP="00925B1F">
      <w:pPr>
        <w:autoSpaceDE w:val="0"/>
        <w:autoSpaceDN w:val="0"/>
        <w:adjustRightInd w:val="0"/>
        <w:spacing w:line="240" w:lineRule="auto"/>
        <w:jc w:val="both"/>
      </w:pPr>
    </w:p>
    <w:p w14:paraId="68A4901E" w14:textId="29152376" w:rsidR="00D309B2" w:rsidRPr="00BF697D" w:rsidRDefault="00D309B2" w:rsidP="00BF697D">
      <w:pPr>
        <w:pStyle w:val="Odsekzoznamu"/>
        <w:numPr>
          <w:ilvl w:val="0"/>
          <w:numId w:val="12"/>
        </w:numPr>
        <w:tabs>
          <w:tab w:val="left" w:pos="5580"/>
        </w:tabs>
        <w:jc w:val="both"/>
        <w:rPr>
          <w:rFonts w:eastAsiaTheme="majorEastAsia" w:cstheme="minorHAnsi"/>
          <w:b/>
          <w:bCs/>
          <w:color w:val="2E74B5" w:themeColor="accent1" w:themeShade="BF"/>
          <w:sz w:val="32"/>
          <w:szCs w:val="32"/>
          <w:u w:val="single"/>
        </w:rPr>
      </w:pPr>
      <w:r w:rsidRPr="00BF697D">
        <w:rPr>
          <w:rFonts w:eastAsiaTheme="majorEastAsia" w:cstheme="minorHAnsi"/>
          <w:b/>
          <w:bCs/>
          <w:color w:val="2E74B5" w:themeColor="accent1" w:themeShade="BF"/>
          <w:sz w:val="32"/>
          <w:szCs w:val="32"/>
          <w:u w:val="single"/>
        </w:rPr>
        <w:t>Určenie počtu podporených bytov</w:t>
      </w:r>
    </w:p>
    <w:p w14:paraId="5DF7C0CD" w14:textId="77777777" w:rsidR="00D309B2" w:rsidRDefault="00D309B2" w:rsidP="00925B1F">
      <w:pPr>
        <w:jc w:val="both"/>
        <w:rPr>
          <w:rFonts w:eastAsiaTheme="majorEastAsia" w:cstheme="minorHAnsi"/>
        </w:rPr>
      </w:pPr>
      <w:r w:rsidRPr="008146B2">
        <w:rPr>
          <w:rFonts w:eastAsiaTheme="majorEastAsia" w:cstheme="minorHAnsi"/>
        </w:rPr>
        <w:t>Žiadateľ/prijímateľ je povinný riadiť sa pravidlami oprávnenosti výdavkov stanovenými v legislatíve EÚ a SR a riadiacej dokumentácii Programu Slovensko 2021 - 2027 (ďalej len „P SK“) pre programové obdobie 2021 - 2027.</w:t>
      </w:r>
    </w:p>
    <w:p w14:paraId="04AC6B31" w14:textId="77777777" w:rsidR="00D309B2" w:rsidRDefault="00D309B2" w:rsidP="00925B1F">
      <w:pPr>
        <w:jc w:val="both"/>
        <w:rPr>
          <w:rFonts w:eastAsiaTheme="majorEastAsia" w:cstheme="minorHAnsi"/>
        </w:rPr>
      </w:pPr>
      <w:r>
        <w:rPr>
          <w:rFonts w:eastAsiaTheme="majorEastAsia" w:cstheme="minorHAnsi"/>
        </w:rPr>
        <w:t>Vzhľadom na alokované zdroje a so zohľadnením predpokladaných potrieb bytových jednotiek v dotknutých obciach určuje poskytovateľ maximálne počty podporených bytov pre jednotlivé obce na základe nasledovných dvoch podmienok:</w:t>
      </w:r>
    </w:p>
    <w:p w14:paraId="6598EDCC" w14:textId="77777777" w:rsidR="00D309B2" w:rsidRDefault="00D309B2" w:rsidP="00925B1F">
      <w:pPr>
        <w:pStyle w:val="Odsekzoznamu"/>
        <w:numPr>
          <w:ilvl w:val="0"/>
          <w:numId w:val="1"/>
        </w:numPr>
        <w:jc w:val="both"/>
        <w:rPr>
          <w:rFonts w:eastAsiaTheme="majorEastAsia" w:cstheme="minorHAnsi"/>
        </w:rPr>
      </w:pPr>
      <w:r>
        <w:rPr>
          <w:rFonts w:eastAsiaTheme="majorEastAsia" w:cstheme="minorHAnsi"/>
        </w:rPr>
        <w:t>Veľkostná kategória obce podľa počtu obyvateľov</w:t>
      </w:r>
    </w:p>
    <w:p w14:paraId="36E79163" w14:textId="77777777" w:rsidR="00D309B2" w:rsidRDefault="00D309B2" w:rsidP="00925B1F">
      <w:pPr>
        <w:pStyle w:val="Odsekzoznamu"/>
        <w:numPr>
          <w:ilvl w:val="0"/>
          <w:numId w:val="1"/>
        </w:numPr>
        <w:jc w:val="both"/>
        <w:rPr>
          <w:rFonts w:eastAsiaTheme="majorEastAsia" w:cstheme="minorHAnsi"/>
        </w:rPr>
      </w:pPr>
      <w:r>
        <w:rPr>
          <w:rFonts w:eastAsiaTheme="majorEastAsia" w:cstheme="minorHAnsi"/>
        </w:rPr>
        <w:t>Podiel obyvateľov MRK na celkovom počte obyvateľov obce</w:t>
      </w:r>
    </w:p>
    <w:p w14:paraId="6CC15A7B" w14:textId="77777777" w:rsidR="00D309B2" w:rsidRDefault="00D309B2" w:rsidP="00925B1F">
      <w:pPr>
        <w:jc w:val="both"/>
        <w:rPr>
          <w:rFonts w:eastAsiaTheme="majorEastAsia" w:cstheme="minorHAnsi"/>
        </w:rPr>
      </w:pPr>
      <w:r>
        <w:rPr>
          <w:rFonts w:eastAsiaTheme="majorEastAsia" w:cstheme="minorHAnsi"/>
        </w:rPr>
        <w:t>V nadväznosti na uvedené dve podmienky sú obce s prítomnosťou MRK uvedené v Atlase rómskych komunít 2019, prípadne jeho neskorších aktualizácií rozdelené v zmysle prvej podmienky do piatich veľkostných kategórií nasledovne:</w:t>
      </w:r>
    </w:p>
    <w:p w14:paraId="50B90084" w14:textId="77777777" w:rsidR="00D309B2" w:rsidRDefault="00D309B2" w:rsidP="00925B1F">
      <w:pPr>
        <w:pStyle w:val="Odsekzoznamu"/>
        <w:numPr>
          <w:ilvl w:val="0"/>
          <w:numId w:val="2"/>
        </w:numPr>
        <w:jc w:val="both"/>
        <w:rPr>
          <w:rFonts w:eastAsiaTheme="majorEastAsia" w:cstheme="minorHAnsi"/>
        </w:rPr>
      </w:pPr>
      <w:r>
        <w:rPr>
          <w:rFonts w:eastAsiaTheme="majorEastAsia" w:cstheme="minorHAnsi"/>
        </w:rPr>
        <w:t>Obce s počtom do 499 obyvateľov</w:t>
      </w:r>
    </w:p>
    <w:p w14:paraId="6455AE14" w14:textId="77777777" w:rsidR="00D309B2" w:rsidRDefault="00D309B2" w:rsidP="00925B1F">
      <w:pPr>
        <w:pStyle w:val="Odsekzoznamu"/>
        <w:numPr>
          <w:ilvl w:val="0"/>
          <w:numId w:val="2"/>
        </w:numPr>
        <w:jc w:val="both"/>
        <w:rPr>
          <w:rFonts w:eastAsiaTheme="majorEastAsia" w:cstheme="minorHAnsi"/>
        </w:rPr>
      </w:pPr>
      <w:r>
        <w:rPr>
          <w:rFonts w:eastAsiaTheme="majorEastAsia" w:cstheme="minorHAnsi"/>
        </w:rPr>
        <w:lastRenderedPageBreak/>
        <w:t>Obce s počtom od 500 do 2 999 obyvateľov</w:t>
      </w:r>
    </w:p>
    <w:p w14:paraId="46042535" w14:textId="77777777" w:rsidR="00D309B2" w:rsidRDefault="00D309B2" w:rsidP="00925B1F">
      <w:pPr>
        <w:pStyle w:val="Odsekzoznamu"/>
        <w:numPr>
          <w:ilvl w:val="0"/>
          <w:numId w:val="2"/>
        </w:numPr>
        <w:jc w:val="both"/>
        <w:rPr>
          <w:rFonts w:eastAsiaTheme="majorEastAsia" w:cstheme="minorHAnsi"/>
        </w:rPr>
      </w:pPr>
      <w:r>
        <w:rPr>
          <w:rFonts w:eastAsiaTheme="majorEastAsia" w:cstheme="minorHAnsi"/>
        </w:rPr>
        <w:t>Obce s počtom od 3 000 do 9 999 obyvateľov</w:t>
      </w:r>
    </w:p>
    <w:p w14:paraId="28144A55" w14:textId="5DAC014C" w:rsidR="00D309B2" w:rsidRDefault="00D309B2" w:rsidP="00925B1F">
      <w:pPr>
        <w:pStyle w:val="Odsekzoznamu"/>
        <w:numPr>
          <w:ilvl w:val="0"/>
          <w:numId w:val="2"/>
        </w:numPr>
        <w:jc w:val="both"/>
        <w:rPr>
          <w:rFonts w:eastAsiaTheme="majorEastAsia" w:cstheme="minorHAnsi"/>
        </w:rPr>
      </w:pPr>
      <w:r>
        <w:rPr>
          <w:rFonts w:eastAsiaTheme="majorEastAsia" w:cstheme="minorHAnsi"/>
        </w:rPr>
        <w:t xml:space="preserve">Obce s počtom od 10 000 do </w:t>
      </w:r>
      <w:r w:rsidR="00AF1B5C">
        <w:rPr>
          <w:rFonts w:eastAsiaTheme="majorEastAsia" w:cstheme="minorHAnsi"/>
        </w:rPr>
        <w:t>1</w:t>
      </w:r>
      <w:r w:rsidR="002465AC">
        <w:rPr>
          <w:rFonts w:eastAsiaTheme="majorEastAsia" w:cstheme="minorHAnsi"/>
        </w:rPr>
        <w:t>4</w:t>
      </w:r>
      <w:r>
        <w:rPr>
          <w:rFonts w:eastAsiaTheme="majorEastAsia" w:cstheme="minorHAnsi"/>
        </w:rPr>
        <w:t> 999 obyvateľov</w:t>
      </w:r>
    </w:p>
    <w:p w14:paraId="2D745DD2" w14:textId="73841753" w:rsidR="00D309B2" w:rsidRPr="00C262F8" w:rsidRDefault="00D309B2" w:rsidP="00925B1F">
      <w:pPr>
        <w:pStyle w:val="Odsekzoznamu"/>
        <w:numPr>
          <w:ilvl w:val="0"/>
          <w:numId w:val="2"/>
        </w:numPr>
        <w:jc w:val="both"/>
        <w:rPr>
          <w:rFonts w:eastAsiaTheme="majorEastAsia" w:cstheme="minorHAnsi"/>
        </w:rPr>
      </w:pPr>
      <w:r>
        <w:rPr>
          <w:rFonts w:eastAsiaTheme="majorEastAsia" w:cstheme="minorHAnsi"/>
        </w:rPr>
        <w:t xml:space="preserve">Obce s počtom nad </w:t>
      </w:r>
      <w:r w:rsidR="00AF1B5C">
        <w:rPr>
          <w:rFonts w:eastAsiaTheme="majorEastAsia" w:cstheme="minorHAnsi"/>
        </w:rPr>
        <w:t>1</w:t>
      </w:r>
      <w:r w:rsidR="002465AC">
        <w:rPr>
          <w:rFonts w:eastAsiaTheme="majorEastAsia" w:cstheme="minorHAnsi"/>
        </w:rPr>
        <w:t>5</w:t>
      </w:r>
      <w:r>
        <w:rPr>
          <w:rFonts w:eastAsiaTheme="majorEastAsia" w:cstheme="minorHAnsi"/>
        </w:rPr>
        <w:t> 000 obyvateľov</w:t>
      </w:r>
    </w:p>
    <w:p w14:paraId="64400AF1" w14:textId="77777777" w:rsidR="00D309B2" w:rsidRDefault="00D309B2" w:rsidP="00925B1F">
      <w:pPr>
        <w:jc w:val="both"/>
        <w:rPr>
          <w:rFonts w:eastAsiaTheme="majorEastAsia" w:cstheme="minorHAnsi"/>
        </w:rPr>
      </w:pPr>
      <w:r>
        <w:t xml:space="preserve">Podľa druhej podmienky sú obce </w:t>
      </w:r>
      <w:r>
        <w:rPr>
          <w:rFonts w:eastAsiaTheme="majorEastAsia" w:cstheme="minorHAnsi"/>
        </w:rPr>
        <w:t>s prítomnosťou MRK uvedené v Atlase rómskych komunít 2019, prípadne jeho neskorších aktualizácií rozdelené do troch kategórií podľa podielu MRK nasledovne:</w:t>
      </w:r>
    </w:p>
    <w:p w14:paraId="07F0AE99" w14:textId="77777777" w:rsidR="00D309B2" w:rsidRDefault="00D309B2" w:rsidP="00925B1F">
      <w:pPr>
        <w:pStyle w:val="Odsekzoznamu"/>
        <w:numPr>
          <w:ilvl w:val="0"/>
          <w:numId w:val="3"/>
        </w:numPr>
        <w:jc w:val="both"/>
      </w:pPr>
      <w:r>
        <w:t>Obce s podielom obyvateľov MRK do 49,99 % na celkovom počte obyvateľov obce</w:t>
      </w:r>
    </w:p>
    <w:p w14:paraId="3766DE67" w14:textId="77777777" w:rsidR="00D309B2" w:rsidRDefault="00D309B2" w:rsidP="00925B1F">
      <w:pPr>
        <w:pStyle w:val="Odsekzoznamu"/>
        <w:numPr>
          <w:ilvl w:val="0"/>
          <w:numId w:val="3"/>
        </w:numPr>
        <w:jc w:val="both"/>
      </w:pPr>
      <w:bookmarkStart w:id="9" w:name="_Hlk175901038"/>
      <w:r>
        <w:t>Obce s podielom obyvateľov MRK od 50,00 % do 84,99 % na celkovom počte obyvateľov obce</w:t>
      </w:r>
    </w:p>
    <w:bookmarkEnd w:id="9"/>
    <w:p w14:paraId="006EDF74" w14:textId="77777777" w:rsidR="00D309B2" w:rsidRDefault="00D309B2" w:rsidP="00925B1F">
      <w:pPr>
        <w:pStyle w:val="Odsekzoznamu"/>
        <w:numPr>
          <w:ilvl w:val="0"/>
          <w:numId w:val="3"/>
        </w:numPr>
        <w:jc w:val="both"/>
      </w:pPr>
      <w:r>
        <w:t>Obce s podielom obyvateľov MRK od 85,00 % na celkovom počte obyvateľov obce.</w:t>
      </w:r>
    </w:p>
    <w:p w14:paraId="7BC6DAC3" w14:textId="086B759A" w:rsidR="00D309B2" w:rsidRDefault="00D309B2" w:rsidP="00925B1F">
      <w:pPr>
        <w:jc w:val="both"/>
      </w:pPr>
      <w:r>
        <w:t xml:space="preserve">Ďalšou podmienkou, ktorú musí žiadateľ/prijímateľ dodržať je stanovenie minimálneho počtu bytov určených pre obyvateľov MRK z počtu podporených bytov v zmysle </w:t>
      </w:r>
      <w:r w:rsidR="0021695B">
        <w:t>údajov nižšie.</w:t>
      </w:r>
    </w:p>
    <w:p w14:paraId="618F7B15" w14:textId="77777777" w:rsidR="00D309B2" w:rsidRDefault="00D309B2" w:rsidP="00925B1F">
      <w:pPr>
        <w:jc w:val="both"/>
      </w:pPr>
      <w:r>
        <w:t>V nadväznosti na uvedené poskytovateľ určuje maximálny počet podporených bytov nasledovne:</w:t>
      </w:r>
    </w:p>
    <w:p w14:paraId="70ACFCE8" w14:textId="77777777" w:rsidR="00D309B2" w:rsidRPr="009D6E7C" w:rsidRDefault="00D309B2" w:rsidP="00BF697D">
      <w:pPr>
        <w:jc w:val="both"/>
        <w:rPr>
          <w:i/>
          <w:sz w:val="20"/>
        </w:rPr>
      </w:pPr>
      <w:r w:rsidRPr="009D6E7C">
        <w:rPr>
          <w:i/>
          <w:sz w:val="20"/>
        </w:rPr>
        <w:t xml:space="preserve">Tabuľka č. 1 – Určenie maximálneho počtu podporených bytov pre obce kategórie </w:t>
      </w:r>
      <w:r w:rsidRPr="009D6E7C">
        <w:rPr>
          <w:b/>
          <w:i/>
          <w:sz w:val="20"/>
        </w:rPr>
        <w:t>a)</w:t>
      </w:r>
    </w:p>
    <w:tbl>
      <w:tblPr>
        <w:tblStyle w:val="Mriekatabuky"/>
        <w:tblW w:w="0" w:type="auto"/>
        <w:tblLook w:val="04A0" w:firstRow="1" w:lastRow="0" w:firstColumn="1" w:lastColumn="0" w:noHBand="0" w:noVBand="1"/>
      </w:tblPr>
      <w:tblGrid>
        <w:gridCol w:w="1271"/>
        <w:gridCol w:w="1276"/>
        <w:gridCol w:w="2126"/>
        <w:gridCol w:w="2410"/>
      </w:tblGrid>
      <w:tr w:rsidR="002465AC" w14:paraId="3C81E128" w14:textId="77777777" w:rsidTr="00B95CD9">
        <w:tc>
          <w:tcPr>
            <w:tcW w:w="2547" w:type="dxa"/>
            <w:gridSpan w:val="2"/>
            <w:vAlign w:val="center"/>
          </w:tcPr>
          <w:p w14:paraId="376F3104" w14:textId="42AF926B" w:rsidR="002465AC" w:rsidRPr="006B1EB0" w:rsidRDefault="002465AC" w:rsidP="00BF697D">
            <w:pPr>
              <w:jc w:val="both"/>
            </w:pPr>
            <w:r w:rsidRPr="006B1EB0">
              <w:t>Počet obyvateľo</w:t>
            </w:r>
            <w:r>
              <w:t>v</w:t>
            </w:r>
            <w:r w:rsidRPr="006B1EB0">
              <w:t xml:space="preserve"> v obci</w:t>
            </w:r>
          </w:p>
        </w:tc>
        <w:tc>
          <w:tcPr>
            <w:tcW w:w="2126" w:type="dxa"/>
            <w:vMerge w:val="restart"/>
            <w:vAlign w:val="center"/>
          </w:tcPr>
          <w:p w14:paraId="3FB82D1C" w14:textId="77777777" w:rsidR="002465AC" w:rsidRPr="006B1EB0" w:rsidRDefault="002465AC" w:rsidP="00BF697D">
            <w:pPr>
              <w:jc w:val="both"/>
            </w:pPr>
            <w:r w:rsidRPr="006B1EB0">
              <w:t>Maximálny počet podporených bytov</w:t>
            </w:r>
          </w:p>
        </w:tc>
        <w:tc>
          <w:tcPr>
            <w:tcW w:w="2410" w:type="dxa"/>
            <w:vMerge w:val="restart"/>
            <w:vAlign w:val="center"/>
          </w:tcPr>
          <w:p w14:paraId="17A77007" w14:textId="77777777" w:rsidR="002465AC" w:rsidRPr="006B1EB0" w:rsidRDefault="002465AC" w:rsidP="00BF697D">
            <w:pPr>
              <w:jc w:val="both"/>
            </w:pPr>
            <w:r w:rsidRPr="006B1EB0">
              <w:t>Minimálny počet bytov pre obyvateľov MRK</w:t>
            </w:r>
          </w:p>
        </w:tc>
      </w:tr>
      <w:tr w:rsidR="002465AC" w14:paraId="07613FE4" w14:textId="77777777" w:rsidTr="00B95CD9">
        <w:tc>
          <w:tcPr>
            <w:tcW w:w="1271" w:type="dxa"/>
            <w:vAlign w:val="center"/>
          </w:tcPr>
          <w:p w14:paraId="5DA79A77" w14:textId="77777777" w:rsidR="002465AC" w:rsidRDefault="002465AC" w:rsidP="00BF697D">
            <w:pPr>
              <w:jc w:val="both"/>
            </w:pPr>
            <w:r>
              <w:t>od</w:t>
            </w:r>
          </w:p>
        </w:tc>
        <w:tc>
          <w:tcPr>
            <w:tcW w:w="1276" w:type="dxa"/>
            <w:vAlign w:val="center"/>
          </w:tcPr>
          <w:p w14:paraId="01DDA665" w14:textId="77777777" w:rsidR="002465AC" w:rsidRDefault="002465AC" w:rsidP="00BF697D">
            <w:pPr>
              <w:jc w:val="both"/>
            </w:pPr>
            <w:r>
              <w:t>do</w:t>
            </w:r>
          </w:p>
        </w:tc>
        <w:tc>
          <w:tcPr>
            <w:tcW w:w="2126" w:type="dxa"/>
            <w:vMerge/>
            <w:vAlign w:val="center"/>
          </w:tcPr>
          <w:p w14:paraId="2F451808" w14:textId="77777777" w:rsidR="002465AC" w:rsidRDefault="002465AC" w:rsidP="00BF697D">
            <w:pPr>
              <w:jc w:val="both"/>
            </w:pPr>
          </w:p>
        </w:tc>
        <w:tc>
          <w:tcPr>
            <w:tcW w:w="2410" w:type="dxa"/>
            <w:vMerge/>
            <w:vAlign w:val="center"/>
          </w:tcPr>
          <w:p w14:paraId="08B7AC40" w14:textId="77777777" w:rsidR="002465AC" w:rsidRDefault="002465AC" w:rsidP="00BF697D">
            <w:pPr>
              <w:jc w:val="both"/>
            </w:pPr>
          </w:p>
        </w:tc>
      </w:tr>
      <w:tr w:rsidR="002465AC" w14:paraId="6428800C" w14:textId="77777777" w:rsidTr="00B95CD9">
        <w:tc>
          <w:tcPr>
            <w:tcW w:w="1271" w:type="dxa"/>
            <w:vAlign w:val="center"/>
          </w:tcPr>
          <w:p w14:paraId="38DCD576" w14:textId="77777777" w:rsidR="002465AC" w:rsidRDefault="002465AC" w:rsidP="00BF697D">
            <w:pPr>
              <w:jc w:val="both"/>
            </w:pPr>
            <w:r>
              <w:t>0</w:t>
            </w:r>
          </w:p>
        </w:tc>
        <w:tc>
          <w:tcPr>
            <w:tcW w:w="1276" w:type="dxa"/>
            <w:vAlign w:val="center"/>
          </w:tcPr>
          <w:p w14:paraId="0AF5DC39" w14:textId="77777777" w:rsidR="002465AC" w:rsidRDefault="002465AC" w:rsidP="00BF697D">
            <w:pPr>
              <w:jc w:val="both"/>
            </w:pPr>
            <w:r>
              <w:t>499</w:t>
            </w:r>
          </w:p>
        </w:tc>
        <w:tc>
          <w:tcPr>
            <w:tcW w:w="2126" w:type="dxa"/>
            <w:vAlign w:val="center"/>
          </w:tcPr>
          <w:p w14:paraId="150E2DB5" w14:textId="149B1CBE" w:rsidR="002465AC" w:rsidRDefault="00AF1B5C" w:rsidP="00BF697D">
            <w:pPr>
              <w:jc w:val="both"/>
            </w:pPr>
            <w:r>
              <w:t>1</w:t>
            </w:r>
            <w:r w:rsidR="002465AC">
              <w:t>6</w:t>
            </w:r>
          </w:p>
        </w:tc>
        <w:tc>
          <w:tcPr>
            <w:tcW w:w="2410" w:type="dxa"/>
            <w:vAlign w:val="center"/>
          </w:tcPr>
          <w:p w14:paraId="5BFC38AB" w14:textId="578289ED" w:rsidR="002465AC" w:rsidRPr="00E208AE" w:rsidRDefault="00AF1B5C" w:rsidP="00BF697D">
            <w:pPr>
              <w:jc w:val="both"/>
            </w:pPr>
            <w:r>
              <w:t>5</w:t>
            </w:r>
          </w:p>
        </w:tc>
      </w:tr>
      <w:tr w:rsidR="002465AC" w14:paraId="46532121" w14:textId="77777777" w:rsidTr="003F673A">
        <w:tc>
          <w:tcPr>
            <w:tcW w:w="1271" w:type="dxa"/>
            <w:vAlign w:val="center"/>
          </w:tcPr>
          <w:p w14:paraId="00C5327E" w14:textId="77777777" w:rsidR="002465AC" w:rsidRDefault="002465AC" w:rsidP="00BF697D">
            <w:pPr>
              <w:jc w:val="both"/>
            </w:pPr>
            <w:r>
              <w:t>500</w:t>
            </w:r>
          </w:p>
        </w:tc>
        <w:tc>
          <w:tcPr>
            <w:tcW w:w="1276" w:type="dxa"/>
            <w:vAlign w:val="center"/>
          </w:tcPr>
          <w:p w14:paraId="282EAEFE" w14:textId="77777777" w:rsidR="002465AC" w:rsidRDefault="002465AC" w:rsidP="00BF697D">
            <w:pPr>
              <w:jc w:val="both"/>
            </w:pPr>
            <w:r>
              <w:t>2 999</w:t>
            </w:r>
          </w:p>
        </w:tc>
        <w:tc>
          <w:tcPr>
            <w:tcW w:w="2126" w:type="dxa"/>
            <w:vAlign w:val="center"/>
          </w:tcPr>
          <w:p w14:paraId="21FC07FD" w14:textId="7F4AD7F8" w:rsidR="002465AC" w:rsidRDefault="00AF1B5C" w:rsidP="00BF697D">
            <w:pPr>
              <w:jc w:val="both"/>
            </w:pPr>
            <w:r>
              <w:t>2</w:t>
            </w:r>
            <w:r w:rsidR="002465AC">
              <w:t>2</w:t>
            </w:r>
          </w:p>
        </w:tc>
        <w:tc>
          <w:tcPr>
            <w:tcW w:w="2410" w:type="dxa"/>
            <w:vAlign w:val="center"/>
          </w:tcPr>
          <w:p w14:paraId="5CCB3F5A" w14:textId="696443D5" w:rsidR="002465AC" w:rsidRPr="00E208AE" w:rsidRDefault="00AF1B5C" w:rsidP="00BF697D">
            <w:pPr>
              <w:jc w:val="both"/>
            </w:pPr>
            <w:r>
              <w:t>7</w:t>
            </w:r>
          </w:p>
        </w:tc>
      </w:tr>
      <w:tr w:rsidR="002465AC" w14:paraId="2AAF93F2" w14:textId="77777777" w:rsidTr="003F673A">
        <w:tc>
          <w:tcPr>
            <w:tcW w:w="1271" w:type="dxa"/>
            <w:vAlign w:val="center"/>
          </w:tcPr>
          <w:p w14:paraId="7E2AD39D" w14:textId="77777777" w:rsidR="002465AC" w:rsidRDefault="002465AC" w:rsidP="00BF697D">
            <w:pPr>
              <w:jc w:val="both"/>
            </w:pPr>
            <w:r>
              <w:t>3 000</w:t>
            </w:r>
          </w:p>
        </w:tc>
        <w:tc>
          <w:tcPr>
            <w:tcW w:w="1276" w:type="dxa"/>
            <w:vAlign w:val="center"/>
          </w:tcPr>
          <w:p w14:paraId="4C052C10" w14:textId="77777777" w:rsidR="002465AC" w:rsidRDefault="002465AC" w:rsidP="00BF697D">
            <w:pPr>
              <w:jc w:val="both"/>
            </w:pPr>
            <w:r>
              <w:t>9 999</w:t>
            </w:r>
          </w:p>
        </w:tc>
        <w:tc>
          <w:tcPr>
            <w:tcW w:w="2126" w:type="dxa"/>
            <w:vAlign w:val="center"/>
          </w:tcPr>
          <w:p w14:paraId="7D784FBB" w14:textId="36099A6C" w:rsidR="002465AC" w:rsidRDefault="00AF1B5C" w:rsidP="00BF697D">
            <w:pPr>
              <w:jc w:val="both"/>
            </w:pPr>
            <w:r>
              <w:t>3</w:t>
            </w:r>
            <w:r w:rsidR="002465AC">
              <w:t>8</w:t>
            </w:r>
          </w:p>
        </w:tc>
        <w:tc>
          <w:tcPr>
            <w:tcW w:w="2410" w:type="dxa"/>
            <w:vAlign w:val="center"/>
          </w:tcPr>
          <w:p w14:paraId="0B97A4AF" w14:textId="5A48A99A" w:rsidR="002465AC" w:rsidRPr="00E208AE" w:rsidRDefault="00AF1B5C" w:rsidP="00BF697D">
            <w:pPr>
              <w:jc w:val="both"/>
            </w:pPr>
            <w:r>
              <w:t>12</w:t>
            </w:r>
          </w:p>
        </w:tc>
      </w:tr>
      <w:tr w:rsidR="002465AC" w14:paraId="71E5068C" w14:textId="77777777" w:rsidTr="003F673A">
        <w:tc>
          <w:tcPr>
            <w:tcW w:w="1271" w:type="dxa"/>
            <w:vAlign w:val="center"/>
          </w:tcPr>
          <w:p w14:paraId="2CCB7DB6" w14:textId="77777777" w:rsidR="002465AC" w:rsidRDefault="002465AC" w:rsidP="00BF697D">
            <w:pPr>
              <w:jc w:val="both"/>
            </w:pPr>
            <w:r>
              <w:t>10 000</w:t>
            </w:r>
          </w:p>
        </w:tc>
        <w:tc>
          <w:tcPr>
            <w:tcW w:w="1276" w:type="dxa"/>
            <w:vAlign w:val="center"/>
          </w:tcPr>
          <w:p w14:paraId="15A27DF2" w14:textId="5BA32BDE" w:rsidR="002465AC" w:rsidRDefault="00AF1B5C" w:rsidP="00BF697D">
            <w:pPr>
              <w:jc w:val="both"/>
            </w:pPr>
            <w:r>
              <w:t>1</w:t>
            </w:r>
            <w:r w:rsidR="002465AC">
              <w:t>4 999</w:t>
            </w:r>
          </w:p>
        </w:tc>
        <w:tc>
          <w:tcPr>
            <w:tcW w:w="2126" w:type="dxa"/>
            <w:vAlign w:val="center"/>
          </w:tcPr>
          <w:p w14:paraId="15C663B1" w14:textId="01369AEB" w:rsidR="002465AC" w:rsidRDefault="00AF1B5C" w:rsidP="00BF697D">
            <w:pPr>
              <w:jc w:val="both"/>
            </w:pPr>
            <w:r>
              <w:t>4</w:t>
            </w:r>
            <w:r w:rsidR="002465AC">
              <w:t>4</w:t>
            </w:r>
          </w:p>
        </w:tc>
        <w:tc>
          <w:tcPr>
            <w:tcW w:w="2410" w:type="dxa"/>
            <w:vAlign w:val="center"/>
          </w:tcPr>
          <w:p w14:paraId="76EB284E" w14:textId="744E21B7" w:rsidR="002465AC" w:rsidRPr="00E208AE" w:rsidRDefault="00AF1B5C" w:rsidP="00BF697D">
            <w:pPr>
              <w:jc w:val="both"/>
            </w:pPr>
            <w:r>
              <w:t>14</w:t>
            </w:r>
          </w:p>
        </w:tc>
      </w:tr>
      <w:tr w:rsidR="002465AC" w14:paraId="068CCF17" w14:textId="77777777" w:rsidTr="00B95CD9">
        <w:tc>
          <w:tcPr>
            <w:tcW w:w="2547" w:type="dxa"/>
            <w:gridSpan w:val="2"/>
            <w:vAlign w:val="center"/>
          </w:tcPr>
          <w:p w14:paraId="7A392071" w14:textId="58B6A913" w:rsidR="002465AC" w:rsidRDefault="002465AC" w:rsidP="00AF1B5C">
            <w:pPr>
              <w:jc w:val="both"/>
            </w:pPr>
            <w:r>
              <w:t xml:space="preserve">Nad </w:t>
            </w:r>
            <w:r w:rsidR="00AF1B5C">
              <w:t>1</w:t>
            </w:r>
            <w:r>
              <w:t>5 000</w:t>
            </w:r>
          </w:p>
        </w:tc>
        <w:tc>
          <w:tcPr>
            <w:tcW w:w="2126" w:type="dxa"/>
            <w:vAlign w:val="center"/>
          </w:tcPr>
          <w:p w14:paraId="7C9E8B5A" w14:textId="723D1F45" w:rsidR="002465AC" w:rsidRDefault="002465AC" w:rsidP="00BF697D">
            <w:pPr>
              <w:jc w:val="both"/>
            </w:pPr>
            <w:r>
              <w:t>neurčené</w:t>
            </w:r>
          </w:p>
        </w:tc>
        <w:tc>
          <w:tcPr>
            <w:tcW w:w="2410" w:type="dxa"/>
            <w:vAlign w:val="center"/>
          </w:tcPr>
          <w:p w14:paraId="69550915" w14:textId="2DE5982C" w:rsidR="002465AC" w:rsidRPr="00E208AE" w:rsidRDefault="009A24E7" w:rsidP="002465AC">
            <w:pPr>
              <w:jc w:val="both"/>
            </w:pPr>
            <w:r>
              <w:t>m</w:t>
            </w:r>
            <w:r w:rsidR="002465AC">
              <w:t>inimálne 30 % podporených bytov</w:t>
            </w:r>
          </w:p>
        </w:tc>
      </w:tr>
    </w:tbl>
    <w:p w14:paraId="62F164D1" w14:textId="77777777" w:rsidR="00D309B2" w:rsidRDefault="00D309B2" w:rsidP="00BF697D">
      <w:pPr>
        <w:spacing w:after="0"/>
        <w:jc w:val="both"/>
      </w:pPr>
    </w:p>
    <w:p w14:paraId="61B5A05B" w14:textId="77777777" w:rsidR="00D309B2" w:rsidRPr="009D6E7C" w:rsidRDefault="00D309B2" w:rsidP="00BF697D">
      <w:pPr>
        <w:jc w:val="both"/>
        <w:rPr>
          <w:i/>
          <w:sz w:val="20"/>
        </w:rPr>
      </w:pPr>
      <w:r w:rsidRPr="009D6E7C">
        <w:rPr>
          <w:i/>
          <w:sz w:val="20"/>
        </w:rPr>
        <w:t xml:space="preserve">Tabuľka č. </w:t>
      </w:r>
      <w:r>
        <w:rPr>
          <w:i/>
          <w:sz w:val="20"/>
        </w:rPr>
        <w:t>2</w:t>
      </w:r>
      <w:r w:rsidRPr="009D6E7C">
        <w:rPr>
          <w:i/>
          <w:sz w:val="20"/>
        </w:rPr>
        <w:t xml:space="preserve"> – Určenie maximálneho počtu podporených bytov pre obce kategórie </w:t>
      </w:r>
      <w:r w:rsidRPr="009D6E7C">
        <w:rPr>
          <w:b/>
          <w:i/>
          <w:sz w:val="20"/>
        </w:rPr>
        <w:t>b)</w:t>
      </w:r>
    </w:p>
    <w:tbl>
      <w:tblPr>
        <w:tblStyle w:val="Mriekatabuky"/>
        <w:tblW w:w="0" w:type="auto"/>
        <w:tblLook w:val="04A0" w:firstRow="1" w:lastRow="0" w:firstColumn="1" w:lastColumn="0" w:noHBand="0" w:noVBand="1"/>
      </w:tblPr>
      <w:tblGrid>
        <w:gridCol w:w="1271"/>
        <w:gridCol w:w="1276"/>
        <w:gridCol w:w="2126"/>
        <w:gridCol w:w="2410"/>
      </w:tblGrid>
      <w:tr w:rsidR="002465AC" w14:paraId="3D32DDC3" w14:textId="77777777" w:rsidTr="00B95CD9">
        <w:tc>
          <w:tcPr>
            <w:tcW w:w="2547" w:type="dxa"/>
            <w:gridSpan w:val="2"/>
            <w:vAlign w:val="center"/>
          </w:tcPr>
          <w:p w14:paraId="0FD5BB9F" w14:textId="1677B699" w:rsidR="002465AC" w:rsidRPr="006B1EB0" w:rsidRDefault="002465AC" w:rsidP="00BF697D">
            <w:pPr>
              <w:jc w:val="both"/>
            </w:pPr>
            <w:r w:rsidRPr="006B1EB0">
              <w:t>Počet obyvateľo</w:t>
            </w:r>
            <w:r>
              <w:t>v</w:t>
            </w:r>
            <w:r w:rsidRPr="006B1EB0">
              <w:t xml:space="preserve"> v obci</w:t>
            </w:r>
          </w:p>
        </w:tc>
        <w:tc>
          <w:tcPr>
            <w:tcW w:w="2126" w:type="dxa"/>
            <w:vMerge w:val="restart"/>
            <w:vAlign w:val="center"/>
          </w:tcPr>
          <w:p w14:paraId="158B8035" w14:textId="77777777" w:rsidR="002465AC" w:rsidRPr="006B1EB0" w:rsidRDefault="002465AC" w:rsidP="00BF697D">
            <w:pPr>
              <w:jc w:val="both"/>
            </w:pPr>
            <w:r w:rsidRPr="006B1EB0">
              <w:t>Maximálny počet podporených bytov</w:t>
            </w:r>
          </w:p>
        </w:tc>
        <w:tc>
          <w:tcPr>
            <w:tcW w:w="2410" w:type="dxa"/>
            <w:vMerge w:val="restart"/>
            <w:vAlign w:val="center"/>
          </w:tcPr>
          <w:p w14:paraId="23C222A2" w14:textId="77777777" w:rsidR="002465AC" w:rsidRPr="006B1EB0" w:rsidRDefault="002465AC" w:rsidP="00BF697D">
            <w:pPr>
              <w:jc w:val="both"/>
            </w:pPr>
            <w:r w:rsidRPr="006B1EB0">
              <w:t>Minimálny počet bytov pre obyvateľov MRK</w:t>
            </w:r>
          </w:p>
        </w:tc>
      </w:tr>
      <w:tr w:rsidR="002465AC" w14:paraId="79FB83B0" w14:textId="77777777" w:rsidTr="00B95CD9">
        <w:tc>
          <w:tcPr>
            <w:tcW w:w="1271" w:type="dxa"/>
            <w:vAlign w:val="center"/>
          </w:tcPr>
          <w:p w14:paraId="63724593" w14:textId="77777777" w:rsidR="002465AC" w:rsidRDefault="002465AC" w:rsidP="00BF697D">
            <w:pPr>
              <w:jc w:val="both"/>
            </w:pPr>
            <w:r>
              <w:t>od</w:t>
            </w:r>
          </w:p>
        </w:tc>
        <w:tc>
          <w:tcPr>
            <w:tcW w:w="1276" w:type="dxa"/>
            <w:vAlign w:val="center"/>
          </w:tcPr>
          <w:p w14:paraId="31E3FA09" w14:textId="77777777" w:rsidR="002465AC" w:rsidRDefault="002465AC" w:rsidP="00BF697D">
            <w:pPr>
              <w:jc w:val="both"/>
            </w:pPr>
            <w:r>
              <w:t>do</w:t>
            </w:r>
          </w:p>
        </w:tc>
        <w:tc>
          <w:tcPr>
            <w:tcW w:w="2126" w:type="dxa"/>
            <w:vMerge/>
            <w:vAlign w:val="center"/>
          </w:tcPr>
          <w:p w14:paraId="11FBF8C0" w14:textId="77777777" w:rsidR="002465AC" w:rsidRDefault="002465AC" w:rsidP="00BF697D">
            <w:pPr>
              <w:jc w:val="both"/>
            </w:pPr>
          </w:p>
        </w:tc>
        <w:tc>
          <w:tcPr>
            <w:tcW w:w="2410" w:type="dxa"/>
            <w:vMerge/>
            <w:vAlign w:val="center"/>
          </w:tcPr>
          <w:p w14:paraId="0A828A30" w14:textId="77777777" w:rsidR="002465AC" w:rsidRDefault="002465AC" w:rsidP="00BF697D">
            <w:pPr>
              <w:jc w:val="both"/>
            </w:pPr>
          </w:p>
        </w:tc>
      </w:tr>
      <w:tr w:rsidR="002465AC" w14:paraId="5672CFF0" w14:textId="77777777" w:rsidTr="005F47A6">
        <w:tc>
          <w:tcPr>
            <w:tcW w:w="1271" w:type="dxa"/>
            <w:vAlign w:val="center"/>
          </w:tcPr>
          <w:p w14:paraId="40F7EEAC" w14:textId="77777777" w:rsidR="002465AC" w:rsidRDefault="002465AC" w:rsidP="00BF697D">
            <w:pPr>
              <w:jc w:val="both"/>
            </w:pPr>
            <w:r>
              <w:t>0</w:t>
            </w:r>
          </w:p>
        </w:tc>
        <w:tc>
          <w:tcPr>
            <w:tcW w:w="1276" w:type="dxa"/>
            <w:vAlign w:val="center"/>
          </w:tcPr>
          <w:p w14:paraId="028C2085" w14:textId="77777777" w:rsidR="002465AC" w:rsidRDefault="002465AC" w:rsidP="00BF697D">
            <w:pPr>
              <w:jc w:val="both"/>
            </w:pPr>
            <w:r>
              <w:t>499</w:t>
            </w:r>
          </w:p>
        </w:tc>
        <w:tc>
          <w:tcPr>
            <w:tcW w:w="2126" w:type="dxa"/>
            <w:vAlign w:val="center"/>
          </w:tcPr>
          <w:p w14:paraId="54C82E3C" w14:textId="13BD20B6" w:rsidR="002465AC" w:rsidRDefault="00AF1B5C" w:rsidP="00BF697D">
            <w:pPr>
              <w:jc w:val="both"/>
            </w:pPr>
            <w:r>
              <w:t>2</w:t>
            </w:r>
            <w:r w:rsidR="002465AC">
              <w:t>2</w:t>
            </w:r>
          </w:p>
        </w:tc>
        <w:tc>
          <w:tcPr>
            <w:tcW w:w="2410" w:type="dxa"/>
            <w:vAlign w:val="center"/>
          </w:tcPr>
          <w:p w14:paraId="1EA29C2D" w14:textId="1866744D" w:rsidR="002465AC" w:rsidRDefault="00AF1B5C" w:rsidP="00BF697D">
            <w:pPr>
              <w:jc w:val="both"/>
            </w:pPr>
            <w:r>
              <w:t>11</w:t>
            </w:r>
          </w:p>
        </w:tc>
      </w:tr>
      <w:tr w:rsidR="002465AC" w14:paraId="4EA4E41B" w14:textId="77777777" w:rsidTr="005F47A6">
        <w:tc>
          <w:tcPr>
            <w:tcW w:w="1271" w:type="dxa"/>
            <w:vAlign w:val="center"/>
          </w:tcPr>
          <w:p w14:paraId="0DA01B8F" w14:textId="77777777" w:rsidR="002465AC" w:rsidRDefault="002465AC" w:rsidP="00BF697D">
            <w:pPr>
              <w:jc w:val="both"/>
            </w:pPr>
            <w:r>
              <w:t>500</w:t>
            </w:r>
          </w:p>
        </w:tc>
        <w:tc>
          <w:tcPr>
            <w:tcW w:w="1276" w:type="dxa"/>
            <w:vAlign w:val="center"/>
          </w:tcPr>
          <w:p w14:paraId="524DE99B" w14:textId="77777777" w:rsidR="002465AC" w:rsidRDefault="002465AC" w:rsidP="00BF697D">
            <w:pPr>
              <w:jc w:val="both"/>
            </w:pPr>
            <w:r>
              <w:t>2 999</w:t>
            </w:r>
          </w:p>
        </w:tc>
        <w:tc>
          <w:tcPr>
            <w:tcW w:w="2126" w:type="dxa"/>
            <w:vAlign w:val="center"/>
          </w:tcPr>
          <w:p w14:paraId="1207C30B" w14:textId="65D5EECF" w:rsidR="002465AC" w:rsidRDefault="00AF1B5C" w:rsidP="00BF697D">
            <w:pPr>
              <w:jc w:val="both"/>
            </w:pPr>
            <w:r>
              <w:t>3</w:t>
            </w:r>
            <w:r w:rsidR="002465AC">
              <w:t>4</w:t>
            </w:r>
          </w:p>
        </w:tc>
        <w:tc>
          <w:tcPr>
            <w:tcW w:w="2410" w:type="dxa"/>
            <w:vAlign w:val="center"/>
          </w:tcPr>
          <w:p w14:paraId="4ED22768" w14:textId="7B96F916" w:rsidR="002465AC" w:rsidRDefault="00AF1B5C" w:rsidP="00BF697D">
            <w:pPr>
              <w:jc w:val="both"/>
            </w:pPr>
            <w:r>
              <w:t>17</w:t>
            </w:r>
          </w:p>
        </w:tc>
      </w:tr>
      <w:tr w:rsidR="002465AC" w14:paraId="5649BAFC" w14:textId="77777777" w:rsidTr="005F47A6">
        <w:tc>
          <w:tcPr>
            <w:tcW w:w="1271" w:type="dxa"/>
            <w:vAlign w:val="center"/>
          </w:tcPr>
          <w:p w14:paraId="26CFCD6E" w14:textId="77777777" w:rsidR="002465AC" w:rsidRDefault="002465AC" w:rsidP="00BF697D">
            <w:pPr>
              <w:jc w:val="both"/>
            </w:pPr>
            <w:r>
              <w:t>3 000</w:t>
            </w:r>
          </w:p>
        </w:tc>
        <w:tc>
          <w:tcPr>
            <w:tcW w:w="1276" w:type="dxa"/>
            <w:vAlign w:val="center"/>
          </w:tcPr>
          <w:p w14:paraId="0D08C4D7" w14:textId="77777777" w:rsidR="002465AC" w:rsidRDefault="002465AC" w:rsidP="00BF697D">
            <w:pPr>
              <w:jc w:val="both"/>
            </w:pPr>
            <w:r>
              <w:t>9 999</w:t>
            </w:r>
          </w:p>
        </w:tc>
        <w:tc>
          <w:tcPr>
            <w:tcW w:w="2126" w:type="dxa"/>
            <w:vAlign w:val="center"/>
          </w:tcPr>
          <w:p w14:paraId="24741159" w14:textId="725E81D5" w:rsidR="002465AC" w:rsidRDefault="00AF1B5C" w:rsidP="00BF697D">
            <w:pPr>
              <w:jc w:val="both"/>
            </w:pPr>
            <w:r>
              <w:t>4</w:t>
            </w:r>
            <w:r w:rsidR="002465AC">
              <w:t>6</w:t>
            </w:r>
          </w:p>
        </w:tc>
        <w:tc>
          <w:tcPr>
            <w:tcW w:w="2410" w:type="dxa"/>
            <w:vAlign w:val="center"/>
          </w:tcPr>
          <w:p w14:paraId="13CA4160" w14:textId="450F474B" w:rsidR="002465AC" w:rsidRDefault="00AF1B5C" w:rsidP="00BF697D">
            <w:pPr>
              <w:jc w:val="both"/>
            </w:pPr>
            <w:r>
              <w:t>23</w:t>
            </w:r>
          </w:p>
        </w:tc>
      </w:tr>
      <w:tr w:rsidR="002465AC" w14:paraId="76DDDFFD" w14:textId="77777777" w:rsidTr="005F47A6">
        <w:tc>
          <w:tcPr>
            <w:tcW w:w="1271" w:type="dxa"/>
            <w:vAlign w:val="center"/>
          </w:tcPr>
          <w:p w14:paraId="6597323B" w14:textId="77777777" w:rsidR="002465AC" w:rsidRDefault="002465AC" w:rsidP="00BF697D">
            <w:pPr>
              <w:jc w:val="both"/>
            </w:pPr>
            <w:r>
              <w:t>10 000</w:t>
            </w:r>
          </w:p>
        </w:tc>
        <w:tc>
          <w:tcPr>
            <w:tcW w:w="1276" w:type="dxa"/>
            <w:vAlign w:val="center"/>
          </w:tcPr>
          <w:p w14:paraId="746EF5B8" w14:textId="4CA06969" w:rsidR="002465AC" w:rsidRDefault="00AF1B5C" w:rsidP="00BF697D">
            <w:pPr>
              <w:jc w:val="both"/>
            </w:pPr>
            <w:r>
              <w:t>1</w:t>
            </w:r>
            <w:r w:rsidR="002465AC">
              <w:t>4 999</w:t>
            </w:r>
          </w:p>
        </w:tc>
        <w:tc>
          <w:tcPr>
            <w:tcW w:w="2126" w:type="dxa"/>
            <w:vAlign w:val="center"/>
          </w:tcPr>
          <w:p w14:paraId="5FD59073" w14:textId="72DC89D4" w:rsidR="002465AC" w:rsidRDefault="00AF1B5C" w:rsidP="00BF697D">
            <w:pPr>
              <w:jc w:val="both"/>
            </w:pPr>
            <w:r>
              <w:t>5</w:t>
            </w:r>
            <w:r w:rsidR="002465AC">
              <w:t>8</w:t>
            </w:r>
          </w:p>
        </w:tc>
        <w:tc>
          <w:tcPr>
            <w:tcW w:w="2410" w:type="dxa"/>
            <w:vAlign w:val="center"/>
          </w:tcPr>
          <w:p w14:paraId="1F136851" w14:textId="6E02B244" w:rsidR="002465AC" w:rsidRDefault="00AF1B5C" w:rsidP="00BF697D">
            <w:pPr>
              <w:jc w:val="both"/>
            </w:pPr>
            <w:r>
              <w:t>29</w:t>
            </w:r>
          </w:p>
        </w:tc>
      </w:tr>
      <w:tr w:rsidR="002465AC" w14:paraId="0E17969A" w14:textId="77777777" w:rsidTr="00B95CD9">
        <w:tc>
          <w:tcPr>
            <w:tcW w:w="2547" w:type="dxa"/>
            <w:gridSpan w:val="2"/>
            <w:vAlign w:val="center"/>
          </w:tcPr>
          <w:p w14:paraId="38E6EEFD" w14:textId="67B1634C" w:rsidR="002465AC" w:rsidRDefault="009A24E7" w:rsidP="00AF1B5C">
            <w:pPr>
              <w:jc w:val="both"/>
            </w:pPr>
            <w:r>
              <w:t>n</w:t>
            </w:r>
            <w:r w:rsidR="002465AC">
              <w:t xml:space="preserve">ad </w:t>
            </w:r>
            <w:r w:rsidR="00AF1B5C">
              <w:t>1</w:t>
            </w:r>
            <w:r w:rsidR="002465AC">
              <w:t>5 000</w:t>
            </w:r>
          </w:p>
        </w:tc>
        <w:tc>
          <w:tcPr>
            <w:tcW w:w="2126" w:type="dxa"/>
            <w:vAlign w:val="center"/>
          </w:tcPr>
          <w:p w14:paraId="0E6B1FFA" w14:textId="44C9E8FB" w:rsidR="002465AC" w:rsidRDefault="002465AC" w:rsidP="00BF697D">
            <w:pPr>
              <w:jc w:val="both"/>
            </w:pPr>
            <w:r>
              <w:t>neurčené</w:t>
            </w:r>
          </w:p>
        </w:tc>
        <w:tc>
          <w:tcPr>
            <w:tcW w:w="2410" w:type="dxa"/>
            <w:vAlign w:val="center"/>
          </w:tcPr>
          <w:p w14:paraId="3EB678E9" w14:textId="10FBCB2A" w:rsidR="002465AC" w:rsidRDefault="009A24E7" w:rsidP="00BF697D">
            <w:pPr>
              <w:jc w:val="both"/>
            </w:pPr>
            <w:r>
              <w:t>m</w:t>
            </w:r>
            <w:r w:rsidR="002465AC">
              <w:t>inimálne 50 % podporených bytov</w:t>
            </w:r>
          </w:p>
        </w:tc>
      </w:tr>
    </w:tbl>
    <w:p w14:paraId="39F94D84" w14:textId="77777777" w:rsidR="00D309B2" w:rsidRDefault="00D309B2" w:rsidP="00BF697D">
      <w:pPr>
        <w:spacing w:after="0"/>
        <w:jc w:val="both"/>
      </w:pPr>
    </w:p>
    <w:p w14:paraId="33D155A1" w14:textId="37B00007" w:rsidR="008B0023" w:rsidRDefault="00D309B2" w:rsidP="00925B1F">
      <w:pPr>
        <w:jc w:val="both"/>
      </w:pPr>
      <w:r>
        <w:t xml:space="preserve">Pre obce kategórie </w:t>
      </w:r>
      <w:r w:rsidRPr="009D6E7C">
        <w:rPr>
          <w:b/>
        </w:rPr>
        <w:t>c)</w:t>
      </w:r>
      <w:r>
        <w:t xml:space="preserve"> s podielom obyvateľov MRK od 85,00 % na celkovom počte obyvateľov obce poskytovateľ neurčuje maximálny počet podporených bytov. Stanovuje sa však podiel bytov určených pre MRK na úrovni minimálne </w:t>
      </w:r>
      <w:r w:rsidR="006A643B">
        <w:t>5</w:t>
      </w:r>
      <w:r>
        <w:t>0 % z celkového počtu podporených bytov (zaokrúhľuje sa vždy smerom hor</w:t>
      </w:r>
      <w:r w:rsidRPr="002D07F3">
        <w:t>e)</w:t>
      </w:r>
      <w:r w:rsidRPr="00EA246D">
        <w:t>.</w:t>
      </w:r>
    </w:p>
    <w:p w14:paraId="501576DD" w14:textId="624302EC" w:rsidR="00D309B2" w:rsidRDefault="00D309B2" w:rsidP="00925B1F">
      <w:pPr>
        <w:jc w:val="both"/>
        <w:rPr>
          <w:b/>
          <w:i/>
        </w:rPr>
      </w:pPr>
      <w:r w:rsidRPr="00681C82">
        <w:rPr>
          <w:b/>
          <w:i/>
        </w:rPr>
        <w:t>Dôležité: V prípade obstarávania</w:t>
      </w:r>
      <w:r w:rsidR="004A1B42">
        <w:rPr>
          <w:b/>
          <w:i/>
        </w:rPr>
        <w:t>, resp. rekonštrukcie</w:t>
      </w:r>
      <w:r w:rsidRPr="00681C82">
        <w:rPr>
          <w:b/>
          <w:i/>
        </w:rPr>
        <w:t xml:space="preserve"> zodpovedajúceho počtu bytov vo viacerých stavebne oddelených objektoch podmienka počtu bytov pre MRK a podielu nájomníkov z MRK musí byť dodržaná pri každom stavebne oddelenom objekte.</w:t>
      </w:r>
    </w:p>
    <w:p w14:paraId="7EAD00E6" w14:textId="53073289" w:rsidR="00D0068A" w:rsidRPr="00EA246D" w:rsidRDefault="00D0068A" w:rsidP="00925B1F">
      <w:pPr>
        <w:jc w:val="both"/>
        <w:rPr>
          <w:b/>
          <w:iCs/>
        </w:rPr>
      </w:pPr>
      <w:r w:rsidRPr="00EA246D">
        <w:rPr>
          <w:b/>
          <w:iCs/>
        </w:rPr>
        <w:t>K ukončeniu realizácie hlavnej aktivity projektu musí byť uzavretých minimálne 50</w:t>
      </w:r>
      <w:r w:rsidR="009A24E7">
        <w:rPr>
          <w:b/>
          <w:iCs/>
        </w:rPr>
        <w:t xml:space="preserve"> </w:t>
      </w:r>
      <w:r w:rsidRPr="00EA246D">
        <w:rPr>
          <w:b/>
          <w:iCs/>
        </w:rPr>
        <w:t xml:space="preserve">% platných nájomných zmlúv na podporené bytové jednotky určené pre obyvateľov MRK a zároveň musí byť </w:t>
      </w:r>
      <w:r w:rsidRPr="00EA246D">
        <w:rPr>
          <w:b/>
          <w:iCs/>
        </w:rPr>
        <w:lastRenderedPageBreak/>
        <w:t>uzavretých minimálne 50</w:t>
      </w:r>
      <w:r w:rsidR="009A24E7">
        <w:rPr>
          <w:b/>
          <w:iCs/>
        </w:rPr>
        <w:t xml:space="preserve"> </w:t>
      </w:r>
      <w:r w:rsidRPr="00EA246D">
        <w:rPr>
          <w:b/>
          <w:iCs/>
        </w:rPr>
        <w:t>% platných nájomných zmlúv zo zvyšného počtu bytových jednotiek, ktoré nie sú určené pre obyvateľov MRK.</w:t>
      </w:r>
    </w:p>
    <w:p w14:paraId="49C564A0" w14:textId="77777777" w:rsidR="00D309B2" w:rsidRPr="00D309B2" w:rsidRDefault="00D309B2" w:rsidP="00BF697D">
      <w:pPr>
        <w:tabs>
          <w:tab w:val="left" w:pos="5580"/>
        </w:tabs>
        <w:jc w:val="both"/>
        <w:rPr>
          <w:rFonts w:eastAsiaTheme="majorEastAsia" w:cstheme="minorHAnsi"/>
          <w:bCs/>
          <w:szCs w:val="24"/>
        </w:rPr>
      </w:pPr>
    </w:p>
    <w:p w14:paraId="1F357633" w14:textId="669E7969" w:rsidR="00544F55" w:rsidRPr="00BF697D" w:rsidRDefault="00544F55" w:rsidP="00BF697D">
      <w:pPr>
        <w:pStyle w:val="Odsekzoznamu"/>
        <w:numPr>
          <w:ilvl w:val="0"/>
          <w:numId w:val="12"/>
        </w:numPr>
        <w:tabs>
          <w:tab w:val="left" w:pos="5580"/>
        </w:tabs>
        <w:jc w:val="both"/>
        <w:rPr>
          <w:rFonts w:eastAsiaTheme="majorEastAsia" w:cstheme="minorHAnsi"/>
          <w:b/>
          <w:bCs/>
          <w:color w:val="2E74B5" w:themeColor="accent1" w:themeShade="BF"/>
          <w:sz w:val="32"/>
          <w:szCs w:val="32"/>
          <w:u w:val="single"/>
        </w:rPr>
      </w:pPr>
      <w:r w:rsidRPr="00BF697D">
        <w:rPr>
          <w:rFonts w:eastAsiaTheme="majorEastAsia" w:cstheme="minorHAnsi"/>
          <w:b/>
          <w:bCs/>
          <w:color w:val="2E74B5" w:themeColor="accent1" w:themeShade="BF"/>
          <w:sz w:val="32"/>
          <w:szCs w:val="32"/>
          <w:u w:val="single"/>
        </w:rPr>
        <w:t>Stavebno-technické a energetické kritériá podporovaných bytov</w:t>
      </w:r>
    </w:p>
    <w:p w14:paraId="5C8D2561" w14:textId="3923CDBB" w:rsidR="00E37394" w:rsidRPr="003D66E7" w:rsidRDefault="00E37394" w:rsidP="00BF697D">
      <w:pPr>
        <w:tabs>
          <w:tab w:val="left" w:pos="5580"/>
        </w:tabs>
        <w:jc w:val="both"/>
        <w:rPr>
          <w:rFonts w:eastAsiaTheme="majorEastAsia" w:cstheme="minorHAnsi"/>
          <w:b/>
          <w:bCs/>
          <w:szCs w:val="24"/>
        </w:rPr>
      </w:pPr>
      <w:r w:rsidRPr="003D66E7">
        <w:rPr>
          <w:rFonts w:eastAsiaTheme="majorEastAsia" w:cstheme="minorHAnsi"/>
          <w:b/>
          <w:bCs/>
          <w:szCs w:val="24"/>
        </w:rPr>
        <w:t>Stavebno-technické kritériá</w:t>
      </w:r>
    </w:p>
    <w:p w14:paraId="3E41D8F8" w14:textId="26ADC5E7" w:rsidR="00E37394" w:rsidRPr="009B7FAE" w:rsidRDefault="00FE05A3" w:rsidP="00BF697D">
      <w:pPr>
        <w:tabs>
          <w:tab w:val="left" w:pos="5580"/>
        </w:tabs>
        <w:jc w:val="both"/>
        <w:rPr>
          <w:rFonts w:eastAsiaTheme="majorEastAsia" w:cstheme="minorHAnsi"/>
          <w:szCs w:val="24"/>
        </w:rPr>
      </w:pPr>
      <w:r>
        <w:rPr>
          <w:rFonts w:eastAsiaTheme="majorEastAsia" w:cstheme="minorHAnsi"/>
          <w:bCs/>
          <w:szCs w:val="24"/>
        </w:rPr>
        <w:t xml:space="preserve">K ukončeniu hlavných aktivít projektu nesmie prísť </w:t>
      </w:r>
      <w:r w:rsidR="00E37394" w:rsidRPr="003D66E7">
        <w:rPr>
          <w:rFonts w:eastAsiaTheme="majorEastAsia" w:cstheme="minorHAnsi"/>
          <w:bCs/>
          <w:szCs w:val="24"/>
        </w:rPr>
        <w:t>pred podaním žiadosti o poskytnutie  NFP.</w:t>
      </w:r>
      <w:r w:rsidR="00EA142C">
        <w:rPr>
          <w:rFonts w:eastAsiaTheme="majorEastAsia" w:cstheme="minorHAnsi"/>
          <w:bCs/>
          <w:szCs w:val="24"/>
        </w:rPr>
        <w:t xml:space="preserve"> </w:t>
      </w:r>
      <w:r w:rsidR="00EA142C" w:rsidRPr="009B7FAE">
        <w:rPr>
          <w:rFonts w:cstheme="minorHAnsi"/>
        </w:rPr>
        <w:t xml:space="preserve">Dĺžka realizácie stavebných prác môže byť max. </w:t>
      </w:r>
      <w:r w:rsidR="00EA142C" w:rsidRPr="007B6423">
        <w:rPr>
          <w:rFonts w:cstheme="minorHAnsi"/>
        </w:rPr>
        <w:t>24 mesiacov</w:t>
      </w:r>
      <w:r w:rsidR="00EA142C" w:rsidRPr="007B6423">
        <w:rPr>
          <w:rStyle w:val="Odkaznapoznmkupodiarou"/>
          <w:rFonts w:cstheme="minorHAnsi"/>
        </w:rPr>
        <w:footnoteReference w:id="4"/>
      </w:r>
      <w:r w:rsidR="00EA142C" w:rsidRPr="007B6423">
        <w:rPr>
          <w:rFonts w:cstheme="minorHAnsi"/>
        </w:rPr>
        <w:t>.</w:t>
      </w:r>
    </w:p>
    <w:p w14:paraId="08E796AF" w14:textId="087B2D00" w:rsidR="00E37394" w:rsidRPr="003D66E7" w:rsidRDefault="00E37394" w:rsidP="00BF697D">
      <w:pPr>
        <w:tabs>
          <w:tab w:val="left" w:pos="5580"/>
        </w:tabs>
        <w:jc w:val="both"/>
        <w:rPr>
          <w:rFonts w:eastAsiaTheme="majorEastAsia" w:cstheme="minorHAnsi"/>
          <w:bCs/>
          <w:szCs w:val="24"/>
        </w:rPr>
      </w:pPr>
      <w:r w:rsidRPr="003D66E7">
        <w:rPr>
          <w:rFonts w:eastAsiaTheme="majorEastAsia" w:cstheme="minorHAnsi"/>
          <w:bCs/>
          <w:szCs w:val="24"/>
        </w:rPr>
        <w:t>Žiadateľ/prijímateľ sa zaviaže, že pri realizácii zabezpečí na stavbe dohľad odborným technickým dozorom.</w:t>
      </w:r>
    </w:p>
    <w:p w14:paraId="4C6E6B2B" w14:textId="77777777" w:rsidR="00E37394" w:rsidRPr="003D66E7" w:rsidRDefault="00E37394" w:rsidP="00BF697D">
      <w:pPr>
        <w:tabs>
          <w:tab w:val="left" w:pos="5580"/>
        </w:tabs>
        <w:jc w:val="both"/>
        <w:rPr>
          <w:rFonts w:eastAsiaTheme="majorEastAsia" w:cstheme="minorHAnsi"/>
          <w:bCs/>
          <w:u w:val="single"/>
        </w:rPr>
      </w:pPr>
      <w:r w:rsidRPr="003D66E7">
        <w:rPr>
          <w:rFonts w:eastAsiaTheme="majorEastAsia" w:cstheme="minorHAnsi"/>
          <w:bCs/>
          <w:u w:val="single"/>
        </w:rPr>
        <w:t>Obstarávacie náklady:</w:t>
      </w:r>
    </w:p>
    <w:p w14:paraId="3F8A66ED" w14:textId="5B7E6401" w:rsidR="00800E13" w:rsidRPr="00800E13" w:rsidRDefault="00E37394" w:rsidP="00BF697D">
      <w:pPr>
        <w:pStyle w:val="Odsekzoznamu"/>
        <w:numPr>
          <w:ilvl w:val="0"/>
          <w:numId w:val="14"/>
        </w:numPr>
        <w:tabs>
          <w:tab w:val="left" w:pos="5580"/>
        </w:tabs>
        <w:ind w:left="360"/>
        <w:jc w:val="both"/>
        <w:rPr>
          <w:rFonts w:eastAsiaTheme="majorEastAsia" w:cstheme="minorHAnsi"/>
          <w:bCs/>
          <w:szCs w:val="24"/>
        </w:rPr>
      </w:pPr>
      <w:r w:rsidRPr="003D66E7">
        <w:rPr>
          <w:rFonts w:eastAsiaTheme="majorEastAsia" w:cstheme="minorHAnsi"/>
          <w:bCs/>
          <w:szCs w:val="24"/>
        </w:rPr>
        <w:t>výstavba nájomného bytu</w:t>
      </w:r>
      <w:r w:rsidR="004A1B42">
        <w:rPr>
          <w:rFonts w:eastAsiaTheme="majorEastAsia" w:cstheme="minorHAnsi"/>
          <w:bCs/>
          <w:szCs w:val="24"/>
        </w:rPr>
        <w:t xml:space="preserve">, </w:t>
      </w:r>
      <w:r w:rsidRPr="003D66E7">
        <w:rPr>
          <w:rFonts w:eastAsiaTheme="majorEastAsia" w:cstheme="minorHAnsi"/>
          <w:bCs/>
          <w:szCs w:val="24"/>
        </w:rPr>
        <w:t>nájomný byt získaný stavebnou úpravou budovy</w:t>
      </w:r>
      <w:r w:rsidR="004A1B42">
        <w:rPr>
          <w:rFonts w:eastAsiaTheme="majorEastAsia" w:cstheme="minorHAnsi"/>
          <w:bCs/>
          <w:szCs w:val="24"/>
        </w:rPr>
        <w:t xml:space="preserve"> a rekonštrukcia nájomného bytu</w:t>
      </w:r>
      <w:r w:rsidRPr="003D66E7">
        <w:rPr>
          <w:rFonts w:eastAsiaTheme="majorEastAsia" w:cstheme="minorHAnsi"/>
          <w:bCs/>
          <w:szCs w:val="24"/>
        </w:rPr>
        <w:t xml:space="preserve"> – obstarávacími nákladmi sú všetky skutočne vynaložené náklady na uskutočnenie stavby vrátane dane z pridanej hodnoty (ďalej len „daň“), ktoré sa preukazujú rozpočtom stavby a zmluvou o dodávke stavebných prác, ktorej súčasťou je rozpočet stavby vypracovaný zhotoviteľom. </w:t>
      </w:r>
    </w:p>
    <w:p w14:paraId="13D2D6ED" w14:textId="0EDF0900" w:rsidR="00D44C11" w:rsidRDefault="00E37394" w:rsidP="00BF697D">
      <w:pPr>
        <w:pStyle w:val="Odsekzoznamu"/>
        <w:numPr>
          <w:ilvl w:val="0"/>
          <w:numId w:val="14"/>
        </w:numPr>
        <w:tabs>
          <w:tab w:val="left" w:pos="5580"/>
        </w:tabs>
        <w:ind w:left="360"/>
        <w:jc w:val="both"/>
        <w:rPr>
          <w:rFonts w:eastAsiaTheme="majorEastAsia" w:cstheme="minorHAnsi"/>
          <w:bCs/>
          <w:szCs w:val="24"/>
        </w:rPr>
      </w:pPr>
      <w:r w:rsidRPr="003D66E7">
        <w:rPr>
          <w:rFonts w:eastAsiaTheme="majorEastAsia" w:cstheme="minorHAnsi"/>
          <w:bCs/>
          <w:szCs w:val="24"/>
        </w:rPr>
        <w:t>náklady</w:t>
      </w:r>
      <w:r w:rsidR="00D44C11" w:rsidRPr="003D66E7">
        <w:rPr>
          <w:rFonts w:eastAsiaTheme="majorEastAsia" w:cstheme="minorHAnsi"/>
          <w:bCs/>
          <w:szCs w:val="24"/>
        </w:rPr>
        <w:t xml:space="preserve"> </w:t>
      </w:r>
      <w:r w:rsidRPr="003D66E7">
        <w:rPr>
          <w:rFonts w:eastAsiaTheme="majorEastAsia" w:cstheme="minorHAnsi"/>
          <w:bCs/>
          <w:szCs w:val="24"/>
        </w:rPr>
        <w:t>na vypracovanie projektovej dokumentácie vrátane dane preukázané zmlu</w:t>
      </w:r>
      <w:r w:rsidR="00800E13">
        <w:rPr>
          <w:rFonts w:eastAsiaTheme="majorEastAsia" w:cstheme="minorHAnsi"/>
          <w:bCs/>
          <w:szCs w:val="24"/>
        </w:rPr>
        <w:t>vou o dodávke projektových prác.</w:t>
      </w:r>
    </w:p>
    <w:p w14:paraId="1D69042B" w14:textId="77777777" w:rsidR="00800E13" w:rsidRPr="00800E13" w:rsidRDefault="00800E13" w:rsidP="00BF697D">
      <w:pPr>
        <w:pStyle w:val="Odsekzoznamu"/>
        <w:tabs>
          <w:tab w:val="left" w:pos="5580"/>
        </w:tabs>
        <w:ind w:left="360"/>
        <w:jc w:val="both"/>
        <w:rPr>
          <w:rFonts w:eastAsiaTheme="majorEastAsia" w:cstheme="minorHAnsi"/>
          <w:bCs/>
          <w:szCs w:val="24"/>
        </w:rPr>
      </w:pPr>
    </w:p>
    <w:p w14:paraId="6F58550F" w14:textId="3F531160" w:rsidR="00D44C11" w:rsidRPr="003D66E7" w:rsidRDefault="00D44C11" w:rsidP="00BF697D">
      <w:pPr>
        <w:pStyle w:val="Odsekzoznamu"/>
        <w:tabs>
          <w:tab w:val="left" w:pos="5580"/>
        </w:tabs>
        <w:ind w:left="360"/>
        <w:jc w:val="both"/>
        <w:rPr>
          <w:rFonts w:eastAsiaTheme="majorEastAsia" w:cstheme="minorHAnsi"/>
          <w:bCs/>
          <w:szCs w:val="24"/>
        </w:rPr>
      </w:pPr>
      <w:r w:rsidRPr="003D66E7">
        <w:rPr>
          <w:rFonts w:eastAsiaTheme="majorEastAsia" w:cstheme="minorHAnsi"/>
          <w:bCs/>
          <w:szCs w:val="24"/>
        </w:rPr>
        <w:t>NFP na obstaranie nájomného bytu možno poskytnúť žiadateľovi/prijímateľovi, ktorý</w:t>
      </w:r>
    </w:p>
    <w:p w14:paraId="2AC40215" w14:textId="5BEB8E25" w:rsidR="00D44C11" w:rsidRPr="003D66E7" w:rsidRDefault="00D44C11" w:rsidP="00BF697D">
      <w:pPr>
        <w:pStyle w:val="Odsekzoznamu"/>
        <w:tabs>
          <w:tab w:val="left" w:pos="5580"/>
        </w:tabs>
        <w:ind w:left="360"/>
        <w:jc w:val="both"/>
        <w:rPr>
          <w:rFonts w:eastAsiaTheme="majorEastAsia" w:cstheme="minorHAnsi"/>
          <w:bCs/>
          <w:szCs w:val="24"/>
        </w:rPr>
      </w:pPr>
      <w:r w:rsidRPr="003D66E7">
        <w:rPr>
          <w:rFonts w:eastAsiaTheme="majorEastAsia" w:cstheme="minorHAnsi"/>
          <w:bCs/>
          <w:szCs w:val="24"/>
        </w:rPr>
        <w:t xml:space="preserve">pri </w:t>
      </w:r>
      <w:r w:rsidRPr="00BF697D">
        <w:rPr>
          <w:rFonts w:eastAsiaTheme="majorEastAsia" w:cstheme="minorHAnsi"/>
          <w:b/>
          <w:szCs w:val="24"/>
          <w:u w:val="single"/>
        </w:rPr>
        <w:t>podaní žiadosti</w:t>
      </w:r>
      <w:r w:rsidRPr="003D66E7">
        <w:rPr>
          <w:rFonts w:eastAsiaTheme="majorEastAsia" w:cstheme="minorHAnsi"/>
          <w:bCs/>
          <w:szCs w:val="24"/>
        </w:rPr>
        <w:t xml:space="preserve"> preukáže, že</w:t>
      </w:r>
    </w:p>
    <w:p w14:paraId="7C280107" w14:textId="77777777" w:rsidR="00D44C11" w:rsidRPr="003D66E7" w:rsidRDefault="00D44C11" w:rsidP="00BF697D">
      <w:pPr>
        <w:pStyle w:val="Odsekzoznamu"/>
        <w:numPr>
          <w:ilvl w:val="0"/>
          <w:numId w:val="40"/>
        </w:numPr>
        <w:tabs>
          <w:tab w:val="left" w:pos="5580"/>
        </w:tabs>
        <w:ind w:left="426" w:hanging="426"/>
        <w:jc w:val="both"/>
        <w:rPr>
          <w:rFonts w:eastAsiaTheme="majorEastAsia" w:cstheme="minorHAnsi"/>
          <w:bCs/>
          <w:szCs w:val="24"/>
        </w:rPr>
      </w:pPr>
      <w:r w:rsidRPr="003D66E7">
        <w:rPr>
          <w:rFonts w:eastAsiaTheme="majorEastAsia" w:cstheme="minorHAnsi"/>
          <w:bCs/>
          <w:szCs w:val="24"/>
        </w:rPr>
        <w:t>priemerná podlahová plocha nájomných bytov nepresiahne 60 m</w:t>
      </w:r>
      <w:r w:rsidRPr="00EA246D">
        <w:rPr>
          <w:rFonts w:eastAsiaTheme="majorEastAsia" w:cstheme="minorHAnsi"/>
          <w:bCs/>
          <w:szCs w:val="24"/>
          <w:vertAlign w:val="superscript"/>
        </w:rPr>
        <w:t>2</w:t>
      </w:r>
      <w:r w:rsidRPr="003D66E7">
        <w:rPr>
          <w:rFonts w:eastAsiaTheme="majorEastAsia" w:cstheme="minorHAnsi"/>
          <w:bCs/>
          <w:szCs w:val="24"/>
        </w:rPr>
        <w:t>,</w:t>
      </w:r>
    </w:p>
    <w:p w14:paraId="4214ECF4" w14:textId="77777777" w:rsidR="00D44C11" w:rsidRPr="003D66E7" w:rsidRDefault="00D44C11" w:rsidP="00BF697D">
      <w:pPr>
        <w:pStyle w:val="Odsekzoznamu"/>
        <w:numPr>
          <w:ilvl w:val="0"/>
          <w:numId w:val="40"/>
        </w:numPr>
        <w:tabs>
          <w:tab w:val="left" w:pos="5580"/>
        </w:tabs>
        <w:ind w:left="360"/>
        <w:jc w:val="both"/>
        <w:rPr>
          <w:rFonts w:eastAsiaTheme="majorEastAsia" w:cstheme="minorHAnsi"/>
          <w:bCs/>
          <w:szCs w:val="24"/>
        </w:rPr>
      </w:pPr>
      <w:r w:rsidRPr="003D66E7">
        <w:rPr>
          <w:rFonts w:eastAsiaTheme="majorEastAsia" w:cstheme="minorHAnsi"/>
          <w:bCs/>
          <w:szCs w:val="24"/>
        </w:rPr>
        <w:t>maximálna plocha bytu je 80 m</w:t>
      </w:r>
      <w:r w:rsidRPr="00EA246D">
        <w:rPr>
          <w:rFonts w:eastAsiaTheme="majorEastAsia" w:cstheme="minorHAnsi"/>
          <w:bCs/>
          <w:szCs w:val="24"/>
          <w:vertAlign w:val="superscript"/>
        </w:rPr>
        <w:t>2</w:t>
      </w:r>
      <w:r w:rsidRPr="003D66E7">
        <w:rPr>
          <w:rFonts w:eastAsiaTheme="majorEastAsia" w:cstheme="minorHAnsi"/>
          <w:bCs/>
          <w:szCs w:val="24"/>
        </w:rPr>
        <w:t xml:space="preserve">; podlahovú plochu bytu je možné zvýšiť najviac o 10 % v prípade, ak ide o byt stavebne určený pre bývanie osoby s ťažkým zdravotným postihnutím, </w:t>
      </w:r>
    </w:p>
    <w:p w14:paraId="7A2E659E" w14:textId="77777777" w:rsidR="00D44C11" w:rsidRPr="00BC3D8B" w:rsidRDefault="00D44C11" w:rsidP="00BF697D">
      <w:pPr>
        <w:pStyle w:val="Odsekzoznamu"/>
        <w:numPr>
          <w:ilvl w:val="0"/>
          <w:numId w:val="40"/>
        </w:numPr>
        <w:tabs>
          <w:tab w:val="left" w:pos="5580"/>
        </w:tabs>
        <w:ind w:left="360"/>
        <w:jc w:val="both"/>
        <w:rPr>
          <w:rFonts w:eastAsiaTheme="majorEastAsia" w:cstheme="minorHAnsi"/>
          <w:bCs/>
          <w:szCs w:val="24"/>
        </w:rPr>
      </w:pPr>
      <w:r w:rsidRPr="00BC3D8B">
        <w:rPr>
          <w:rFonts w:eastAsiaTheme="majorEastAsia" w:cstheme="minorHAnsi"/>
          <w:bCs/>
          <w:szCs w:val="24"/>
        </w:rPr>
        <w:t>NFP na obstaranie toho istého nájomného bytu je možné poskytnúť iba raz,</w:t>
      </w:r>
    </w:p>
    <w:p w14:paraId="392A5F97" w14:textId="77777777" w:rsidR="00D44C11" w:rsidRPr="00BC3D8B" w:rsidRDefault="00D44C11" w:rsidP="00BF697D">
      <w:pPr>
        <w:pStyle w:val="Odsekzoznamu"/>
        <w:numPr>
          <w:ilvl w:val="0"/>
          <w:numId w:val="40"/>
        </w:numPr>
        <w:tabs>
          <w:tab w:val="left" w:pos="5580"/>
        </w:tabs>
        <w:ind w:left="360"/>
        <w:jc w:val="both"/>
        <w:rPr>
          <w:rFonts w:eastAsiaTheme="majorEastAsia" w:cstheme="minorHAnsi"/>
          <w:bCs/>
          <w:szCs w:val="24"/>
        </w:rPr>
      </w:pPr>
      <w:r w:rsidRPr="00BC3D8B">
        <w:rPr>
          <w:rFonts w:eastAsiaTheme="majorEastAsia" w:cstheme="minorHAnsi"/>
          <w:bCs/>
          <w:szCs w:val="24"/>
        </w:rPr>
        <w:t>v rodinnom dome sa nachádzajú najmenej dva byty,</w:t>
      </w:r>
    </w:p>
    <w:p w14:paraId="1D381969" w14:textId="319904BB" w:rsidR="00D70FCD" w:rsidRPr="00BC3D8B" w:rsidRDefault="00D44C11" w:rsidP="00BF697D">
      <w:pPr>
        <w:pStyle w:val="Odsekzoznamu"/>
        <w:numPr>
          <w:ilvl w:val="0"/>
          <w:numId w:val="40"/>
        </w:numPr>
        <w:tabs>
          <w:tab w:val="left" w:pos="5580"/>
        </w:tabs>
        <w:ind w:left="360"/>
        <w:jc w:val="both"/>
        <w:rPr>
          <w:rFonts w:eastAsiaTheme="majorEastAsia" w:cstheme="minorHAnsi"/>
          <w:bCs/>
          <w:szCs w:val="24"/>
        </w:rPr>
      </w:pPr>
      <w:r w:rsidRPr="00BC3D8B">
        <w:rPr>
          <w:rFonts w:eastAsiaTheme="majorEastAsia" w:cstheme="minorHAnsi"/>
          <w:bCs/>
          <w:szCs w:val="24"/>
        </w:rPr>
        <w:t>všetky technické zariadenia budovy (rozvod plynu, elektriny, kanalizácie, vody a tepla, kotolňa, výmenníková stanica a výťah) boli vymenené najviac desať rokov pred podaním žiadosti, alebo budú vymenené počas realizácie stavebných úprav v prípade stavebnej úpravy bytu získaného prestavbou nebytovej budovy alebo ostatných budov na</w:t>
      </w:r>
      <w:r w:rsidR="00D70FCD" w:rsidRPr="00BC3D8B">
        <w:rPr>
          <w:rFonts w:eastAsiaTheme="majorEastAsia" w:cstheme="minorHAnsi"/>
          <w:bCs/>
          <w:szCs w:val="24"/>
        </w:rPr>
        <w:t xml:space="preserve"> </w:t>
      </w:r>
      <w:r w:rsidRPr="00BC3D8B">
        <w:rPr>
          <w:rFonts w:eastAsiaTheme="majorEastAsia" w:cstheme="minorHAnsi"/>
          <w:bCs/>
          <w:szCs w:val="24"/>
        </w:rPr>
        <w:t>bývanie</w:t>
      </w:r>
      <w:r w:rsidR="00D70FCD" w:rsidRPr="00BC3D8B">
        <w:rPr>
          <w:rFonts w:eastAsiaTheme="majorEastAsia" w:cstheme="minorHAnsi"/>
          <w:bCs/>
          <w:szCs w:val="24"/>
        </w:rPr>
        <w:t>,</w:t>
      </w:r>
      <w:r w:rsidRPr="00BC3D8B">
        <w:rPr>
          <w:rFonts w:eastAsiaTheme="majorEastAsia" w:cstheme="minorHAnsi"/>
          <w:bCs/>
          <w:szCs w:val="24"/>
        </w:rPr>
        <w:t xml:space="preserve"> </w:t>
      </w:r>
    </w:p>
    <w:p w14:paraId="167192F9" w14:textId="77777777" w:rsidR="00D70FCD" w:rsidRPr="003D66E7" w:rsidRDefault="00D44C11" w:rsidP="00BF697D">
      <w:pPr>
        <w:pStyle w:val="Odsekzoznamu"/>
        <w:numPr>
          <w:ilvl w:val="0"/>
          <w:numId w:val="40"/>
        </w:numPr>
        <w:tabs>
          <w:tab w:val="left" w:pos="5580"/>
        </w:tabs>
        <w:ind w:left="360"/>
        <w:jc w:val="both"/>
        <w:rPr>
          <w:rFonts w:eastAsiaTheme="majorEastAsia" w:cstheme="minorHAnsi"/>
          <w:bCs/>
          <w:szCs w:val="24"/>
        </w:rPr>
      </w:pPr>
      <w:r w:rsidRPr="00BC3D8B">
        <w:rPr>
          <w:rFonts w:eastAsiaTheme="majorEastAsia" w:cstheme="minorHAnsi"/>
          <w:bCs/>
          <w:szCs w:val="24"/>
        </w:rPr>
        <w:t>minimálne 15 % bytov z celkového počtu obstarávaných nájomných</w:t>
      </w:r>
      <w:r w:rsidRPr="003D66E7">
        <w:rPr>
          <w:rFonts w:eastAsiaTheme="majorEastAsia" w:cstheme="minorHAnsi"/>
          <w:bCs/>
          <w:szCs w:val="24"/>
        </w:rPr>
        <w:t xml:space="preserve"> bytov v bytovej budove alebo v nebytovej budove, ktorá má zriadený výťah, je navrhnutých univerzálne z hľadiska stavebných konštrukcií a to tak, aby ich mohli využívať osoby so zdravotným postihnutím bez dodatočných úprav týchto konštrukcií</w:t>
      </w:r>
      <w:r w:rsidR="00D70FCD" w:rsidRPr="003D66E7">
        <w:rPr>
          <w:rFonts w:eastAsiaTheme="majorEastAsia" w:cstheme="minorHAnsi"/>
          <w:bCs/>
          <w:szCs w:val="24"/>
        </w:rPr>
        <w:t xml:space="preserve">, </w:t>
      </w:r>
    </w:p>
    <w:p w14:paraId="0C99F807" w14:textId="77777777" w:rsidR="009B0B1E" w:rsidRDefault="009B0B1E" w:rsidP="009D3180">
      <w:pPr>
        <w:tabs>
          <w:tab w:val="left" w:pos="5580"/>
        </w:tabs>
        <w:jc w:val="both"/>
        <w:rPr>
          <w:rFonts w:ascii="Times New Roman" w:eastAsiaTheme="majorEastAsia" w:hAnsi="Times New Roman" w:cs="Times New Roman"/>
          <w:b/>
          <w:bCs/>
          <w:sz w:val="24"/>
          <w:szCs w:val="24"/>
        </w:rPr>
      </w:pPr>
    </w:p>
    <w:p w14:paraId="0AEA8795" w14:textId="529A82D5" w:rsidR="00E37394" w:rsidRPr="00BF697D" w:rsidRDefault="00E37394" w:rsidP="00BF697D">
      <w:pPr>
        <w:tabs>
          <w:tab w:val="left" w:pos="5580"/>
        </w:tabs>
        <w:jc w:val="both"/>
        <w:rPr>
          <w:rFonts w:eastAsiaTheme="majorEastAsia" w:cstheme="minorHAnsi"/>
          <w:b/>
          <w:bCs/>
          <w:szCs w:val="24"/>
        </w:rPr>
      </w:pPr>
      <w:r w:rsidRPr="00BF697D">
        <w:rPr>
          <w:rFonts w:eastAsiaTheme="majorEastAsia" w:cstheme="minorHAnsi"/>
          <w:b/>
          <w:bCs/>
          <w:szCs w:val="24"/>
        </w:rPr>
        <w:t>Energetické kritéria</w:t>
      </w:r>
    </w:p>
    <w:p w14:paraId="0DC60AE9" w14:textId="3484E6DD" w:rsidR="00E37394" w:rsidRPr="003D66E7" w:rsidRDefault="00E37394" w:rsidP="00BF697D">
      <w:pPr>
        <w:tabs>
          <w:tab w:val="left" w:pos="5580"/>
        </w:tabs>
        <w:jc w:val="both"/>
        <w:rPr>
          <w:rFonts w:eastAsiaTheme="majorEastAsia" w:cstheme="minorHAnsi"/>
          <w:bCs/>
          <w:szCs w:val="24"/>
        </w:rPr>
      </w:pPr>
      <w:r w:rsidRPr="003D66E7">
        <w:rPr>
          <w:rFonts w:eastAsiaTheme="majorEastAsia" w:cstheme="minorHAnsi"/>
          <w:bCs/>
          <w:szCs w:val="24"/>
        </w:rPr>
        <w:t xml:space="preserve">Obstarávané nájomné byty musia spĺňať požiadavky energetickej hospodárnosti, ktoré sú ustanovené v zákone č. 555/2005 Z. z. o energetickej hospodárnosti budov a o zmene a doplnení niektorých zákonov v znení neskorších predpisov (ďalej len „zákon č. 555/2005 Z. z.) a v technickej norme STN 73 0540-2 </w:t>
      </w:r>
      <w:r w:rsidRPr="003D66E7">
        <w:rPr>
          <w:rFonts w:eastAsiaTheme="majorEastAsia" w:cstheme="minorHAnsi"/>
          <w:bCs/>
          <w:szCs w:val="24"/>
        </w:rPr>
        <w:lastRenderedPageBreak/>
        <w:t>Tepelná ochrana budov. Tepelno</w:t>
      </w:r>
      <w:r w:rsidR="002F463E" w:rsidRPr="003D66E7">
        <w:rPr>
          <w:rFonts w:eastAsiaTheme="majorEastAsia" w:cstheme="minorHAnsi"/>
          <w:bCs/>
          <w:szCs w:val="24"/>
        </w:rPr>
        <w:t>-</w:t>
      </w:r>
      <w:r w:rsidRPr="003D66E7">
        <w:rPr>
          <w:rFonts w:eastAsiaTheme="majorEastAsia" w:cstheme="minorHAnsi"/>
          <w:bCs/>
          <w:szCs w:val="24"/>
        </w:rPr>
        <w:t>technické vlastnosti stavebných konštrukcií a budov. Časť 2: Funkčné požiadavky.</w:t>
      </w:r>
    </w:p>
    <w:p w14:paraId="02BB0BA3" w14:textId="54EED2FF" w:rsidR="00E37394" w:rsidRPr="003D66E7" w:rsidRDefault="00E37394" w:rsidP="00BF697D">
      <w:pPr>
        <w:tabs>
          <w:tab w:val="left" w:pos="5580"/>
        </w:tabs>
        <w:jc w:val="both"/>
        <w:rPr>
          <w:rFonts w:eastAsiaTheme="majorEastAsia" w:cstheme="minorHAnsi"/>
          <w:bCs/>
          <w:szCs w:val="24"/>
        </w:rPr>
      </w:pPr>
      <w:r w:rsidRPr="003D66E7">
        <w:rPr>
          <w:rFonts w:eastAsiaTheme="majorEastAsia" w:cstheme="minorHAnsi"/>
          <w:bCs/>
          <w:szCs w:val="24"/>
        </w:rPr>
        <w:t>Požadovaná energetická hospodárnosť nových a obnovovaných budov, definovaná hodnotou globálneho ukazovateľa – primárna energia pre budovy, ktorých žiadosť o vydanie stavebného povolenia bola podaná od 1.1.2019 pre budovy verejnej správy a od 1.1.2021 pre všetky budovy – energetická úroveň budov s takmer nulovou potrebou energie, horná hranica energetickej triedy A0.</w:t>
      </w:r>
    </w:p>
    <w:p w14:paraId="5CBA1C21" w14:textId="77777777" w:rsidR="00E37394" w:rsidRPr="003D66E7" w:rsidRDefault="00E37394" w:rsidP="00BF697D">
      <w:pPr>
        <w:tabs>
          <w:tab w:val="left" w:pos="5580"/>
        </w:tabs>
        <w:jc w:val="both"/>
        <w:rPr>
          <w:rFonts w:eastAsiaTheme="majorEastAsia" w:cstheme="minorHAnsi"/>
          <w:bCs/>
          <w:szCs w:val="24"/>
        </w:rPr>
      </w:pPr>
      <w:r w:rsidRPr="003D66E7">
        <w:rPr>
          <w:rFonts w:eastAsiaTheme="majorEastAsia" w:cstheme="minorHAnsi"/>
          <w:bCs/>
          <w:szCs w:val="24"/>
        </w:rPr>
        <w:t>Súčasťou dokladov ku kolaudačnému konaniu stavby musí byť aj energetický certifikát budovy. Povinnosť zabezpečiť energetický certifikát vyplýva pre stavebníka z ustanovenia § 5 ods. 2 písm. c) zákona č. 555/2005 Z. z. pri dokončení novej budovy alebo významnej obnovy existujúcej budovy. Energetickou certifikáciou sa budova zatrieďuje do energetickej triedy.</w:t>
      </w:r>
    </w:p>
    <w:p w14:paraId="64A675F1" w14:textId="3F57241B" w:rsidR="00544F55" w:rsidRPr="003D66E7" w:rsidRDefault="00E37394" w:rsidP="00BF697D">
      <w:pPr>
        <w:tabs>
          <w:tab w:val="left" w:pos="5580"/>
        </w:tabs>
        <w:jc w:val="both"/>
        <w:rPr>
          <w:rFonts w:eastAsiaTheme="majorEastAsia" w:cstheme="minorHAnsi"/>
          <w:bCs/>
          <w:szCs w:val="24"/>
        </w:rPr>
      </w:pPr>
      <w:r w:rsidRPr="003D66E7">
        <w:rPr>
          <w:rFonts w:eastAsiaTheme="majorEastAsia" w:cstheme="minorHAnsi"/>
          <w:bCs/>
          <w:szCs w:val="24"/>
        </w:rPr>
        <w:t xml:space="preserve">Pri žiadosti o </w:t>
      </w:r>
      <w:r w:rsidR="009906FE">
        <w:rPr>
          <w:rFonts w:eastAsiaTheme="majorEastAsia" w:cstheme="minorHAnsi"/>
          <w:bCs/>
          <w:szCs w:val="24"/>
        </w:rPr>
        <w:t>NFP</w:t>
      </w:r>
      <w:r w:rsidRPr="003D66E7">
        <w:rPr>
          <w:rFonts w:eastAsiaTheme="majorEastAsia" w:cstheme="minorHAnsi"/>
          <w:bCs/>
          <w:szCs w:val="24"/>
        </w:rPr>
        <w:t>, ktorej predmetom je obstaranie nájomn</w:t>
      </w:r>
      <w:r w:rsidR="009906FE">
        <w:rPr>
          <w:rFonts w:eastAsiaTheme="majorEastAsia" w:cstheme="minorHAnsi"/>
          <w:bCs/>
          <w:szCs w:val="24"/>
        </w:rPr>
        <w:t>ého</w:t>
      </w:r>
      <w:r w:rsidRPr="003D66E7">
        <w:rPr>
          <w:rFonts w:eastAsiaTheme="majorEastAsia" w:cstheme="minorHAnsi"/>
          <w:bCs/>
          <w:szCs w:val="24"/>
        </w:rPr>
        <w:t xml:space="preserve"> byt</w:t>
      </w:r>
      <w:r w:rsidR="009906FE">
        <w:rPr>
          <w:rFonts w:eastAsiaTheme="majorEastAsia" w:cstheme="minorHAnsi"/>
          <w:bCs/>
          <w:szCs w:val="24"/>
        </w:rPr>
        <w:t>u</w:t>
      </w:r>
      <w:r w:rsidRPr="003D66E7">
        <w:rPr>
          <w:rFonts w:eastAsiaTheme="majorEastAsia" w:cstheme="minorHAnsi"/>
          <w:bCs/>
          <w:szCs w:val="24"/>
        </w:rPr>
        <w:t xml:space="preserve"> výstavbou alebo stavebnými úpravami </w:t>
      </w:r>
      <w:r w:rsidR="004A1B42">
        <w:rPr>
          <w:rFonts w:eastAsiaTheme="majorEastAsia" w:cstheme="minorHAnsi"/>
          <w:bCs/>
          <w:szCs w:val="24"/>
        </w:rPr>
        <w:t xml:space="preserve">alebo rekonštrukciou </w:t>
      </w:r>
      <w:r w:rsidRPr="003D66E7">
        <w:rPr>
          <w:rFonts w:eastAsiaTheme="majorEastAsia" w:cstheme="minorHAnsi"/>
          <w:bCs/>
          <w:szCs w:val="24"/>
        </w:rPr>
        <w:t>sa splnenie požiadaviek na energetickú hospodárnosť budovy v prvom kroku preukazuje projektovým energetickým hodnotením podľa § 4a ods. 2 zákona č. 555/2005 Z. z., ktorého rozsah je zadefinovaný v prílohe č. 1 vyhlášky MDVRR SR č. 364/2012 Z. z., ktorou sa vykonáva zákon č.</w:t>
      </w:r>
      <w:r w:rsidR="009906FE">
        <w:rPr>
          <w:rFonts w:eastAsiaTheme="majorEastAsia" w:cstheme="minorHAnsi"/>
          <w:bCs/>
          <w:szCs w:val="24"/>
        </w:rPr>
        <w:t> </w:t>
      </w:r>
      <w:r w:rsidRPr="003D66E7">
        <w:rPr>
          <w:rFonts w:eastAsiaTheme="majorEastAsia" w:cstheme="minorHAnsi"/>
          <w:bCs/>
          <w:szCs w:val="24"/>
        </w:rPr>
        <w:t>555/2005 Z. z. Po vydaní kolaudačného rozhodnutia sa splnenie požiadaviek na energetickú hospodárnosť budov potvrdí energetickým certifikátom budovy.</w:t>
      </w:r>
    </w:p>
    <w:p w14:paraId="6363EF5D" w14:textId="44B57F74" w:rsidR="00781644" w:rsidRDefault="00781644" w:rsidP="00BF697D">
      <w:pPr>
        <w:tabs>
          <w:tab w:val="left" w:pos="5580"/>
        </w:tabs>
        <w:jc w:val="both"/>
        <w:rPr>
          <w:rFonts w:ascii="Times New Roman" w:eastAsiaTheme="majorEastAsia" w:hAnsi="Times New Roman" w:cs="Times New Roman"/>
          <w:bCs/>
          <w:sz w:val="24"/>
          <w:szCs w:val="24"/>
        </w:rPr>
      </w:pPr>
    </w:p>
    <w:p w14:paraId="6F4D2382" w14:textId="0C8B0D44" w:rsidR="00544F55" w:rsidRPr="00BF697D" w:rsidRDefault="003C0DDA" w:rsidP="00BF697D">
      <w:pPr>
        <w:pStyle w:val="Odsekzoznamu"/>
        <w:numPr>
          <w:ilvl w:val="0"/>
          <w:numId w:val="12"/>
        </w:numPr>
        <w:tabs>
          <w:tab w:val="left" w:pos="5580"/>
        </w:tabs>
        <w:jc w:val="both"/>
        <w:rPr>
          <w:rFonts w:eastAsiaTheme="majorEastAsia" w:cstheme="minorHAnsi"/>
          <w:b/>
          <w:bCs/>
          <w:color w:val="2E74B5" w:themeColor="accent1" w:themeShade="BF"/>
          <w:sz w:val="32"/>
          <w:szCs w:val="32"/>
          <w:u w:val="single"/>
        </w:rPr>
      </w:pPr>
      <w:r w:rsidRPr="00BF697D">
        <w:rPr>
          <w:rFonts w:eastAsiaTheme="majorEastAsia" w:cstheme="minorHAnsi"/>
          <w:b/>
          <w:bCs/>
          <w:color w:val="2E74B5" w:themeColor="accent1" w:themeShade="BF"/>
          <w:sz w:val="32"/>
          <w:szCs w:val="32"/>
          <w:u w:val="single"/>
        </w:rPr>
        <w:t>Technická vybavenosť</w:t>
      </w:r>
    </w:p>
    <w:p w14:paraId="189AD063" w14:textId="4FAFBED3" w:rsidR="00D06F15" w:rsidRPr="003D66E7" w:rsidRDefault="00D06F15" w:rsidP="00BF697D">
      <w:pPr>
        <w:tabs>
          <w:tab w:val="left" w:pos="5580"/>
        </w:tabs>
        <w:jc w:val="both"/>
        <w:rPr>
          <w:rFonts w:eastAsiaTheme="majorEastAsia" w:cstheme="minorHAnsi"/>
          <w:bCs/>
          <w:szCs w:val="24"/>
        </w:rPr>
      </w:pPr>
      <w:r w:rsidRPr="003D66E7">
        <w:rPr>
          <w:rFonts w:eastAsiaTheme="majorEastAsia" w:cstheme="minorHAnsi"/>
          <w:bCs/>
          <w:szCs w:val="24"/>
        </w:rPr>
        <w:t>Technická vybavenosť, ktorú je možné obstarať z NFP, je:</w:t>
      </w:r>
    </w:p>
    <w:p w14:paraId="06392BF4" w14:textId="3222A634" w:rsidR="00D06F15" w:rsidRPr="003D66E7" w:rsidRDefault="00D06F15" w:rsidP="00BF697D">
      <w:pPr>
        <w:pStyle w:val="Odsekzoznamu"/>
        <w:numPr>
          <w:ilvl w:val="0"/>
          <w:numId w:val="15"/>
        </w:numPr>
        <w:tabs>
          <w:tab w:val="left" w:pos="5580"/>
        </w:tabs>
        <w:ind w:left="426" w:hanging="426"/>
        <w:jc w:val="both"/>
        <w:rPr>
          <w:rFonts w:eastAsiaTheme="majorEastAsia" w:cstheme="minorHAnsi"/>
          <w:bCs/>
          <w:szCs w:val="24"/>
        </w:rPr>
      </w:pPr>
      <w:r w:rsidRPr="003D66E7">
        <w:rPr>
          <w:rFonts w:eastAsiaTheme="majorEastAsia" w:cstheme="minorHAnsi"/>
          <w:bCs/>
          <w:szCs w:val="24"/>
        </w:rPr>
        <w:t>vodovodná prípojka,</w:t>
      </w:r>
    </w:p>
    <w:p w14:paraId="5A57D5C7" w14:textId="72445FAF" w:rsidR="00D06F15" w:rsidRPr="003D66E7" w:rsidRDefault="00D06F15" w:rsidP="00BF697D">
      <w:pPr>
        <w:pStyle w:val="Odsekzoznamu"/>
        <w:numPr>
          <w:ilvl w:val="0"/>
          <w:numId w:val="15"/>
        </w:numPr>
        <w:tabs>
          <w:tab w:val="left" w:pos="5580"/>
        </w:tabs>
        <w:ind w:left="426" w:hanging="426"/>
        <w:jc w:val="both"/>
        <w:rPr>
          <w:rFonts w:eastAsiaTheme="majorEastAsia" w:cstheme="minorHAnsi"/>
          <w:bCs/>
          <w:szCs w:val="24"/>
        </w:rPr>
      </w:pPr>
      <w:r w:rsidRPr="003D66E7">
        <w:rPr>
          <w:rFonts w:eastAsiaTheme="majorEastAsia" w:cstheme="minorHAnsi"/>
          <w:bCs/>
          <w:szCs w:val="24"/>
        </w:rPr>
        <w:t>kanalizačná prípojka,</w:t>
      </w:r>
    </w:p>
    <w:p w14:paraId="1CCB2D4B" w14:textId="581A854C" w:rsidR="00D06F15" w:rsidRPr="003D66E7" w:rsidRDefault="00D06F15" w:rsidP="00BF697D">
      <w:pPr>
        <w:pStyle w:val="Odsekzoznamu"/>
        <w:numPr>
          <w:ilvl w:val="0"/>
          <w:numId w:val="15"/>
        </w:numPr>
        <w:tabs>
          <w:tab w:val="left" w:pos="5580"/>
        </w:tabs>
        <w:ind w:left="426" w:hanging="426"/>
        <w:jc w:val="both"/>
        <w:rPr>
          <w:rFonts w:eastAsiaTheme="majorEastAsia" w:cstheme="minorHAnsi"/>
          <w:bCs/>
          <w:szCs w:val="24"/>
        </w:rPr>
      </w:pPr>
      <w:r w:rsidRPr="003D66E7">
        <w:rPr>
          <w:rFonts w:eastAsiaTheme="majorEastAsia" w:cstheme="minorHAnsi"/>
          <w:bCs/>
          <w:szCs w:val="24"/>
        </w:rPr>
        <w:t>odstavná plocha vrátane príjazdu k odstavnej ploche z miestnej komunikácie</w:t>
      </w:r>
      <w:r w:rsidR="00EA142C">
        <w:rPr>
          <w:rFonts w:eastAsiaTheme="majorEastAsia" w:cstheme="minorHAnsi"/>
          <w:bCs/>
          <w:szCs w:val="24"/>
        </w:rPr>
        <w:t xml:space="preserve"> a stojiska na kontajnery</w:t>
      </w:r>
      <w:r w:rsidRPr="003D66E7">
        <w:rPr>
          <w:rFonts w:eastAsiaTheme="majorEastAsia" w:cstheme="minorHAnsi"/>
          <w:bCs/>
          <w:szCs w:val="24"/>
        </w:rPr>
        <w:t>.</w:t>
      </w:r>
    </w:p>
    <w:p w14:paraId="5435ECF9" w14:textId="77777777" w:rsidR="00D06F15" w:rsidRPr="003D66E7" w:rsidRDefault="00D06F15" w:rsidP="00BF697D">
      <w:pPr>
        <w:tabs>
          <w:tab w:val="left" w:pos="5580"/>
        </w:tabs>
        <w:jc w:val="both"/>
        <w:rPr>
          <w:rFonts w:eastAsiaTheme="majorEastAsia" w:cstheme="minorHAnsi"/>
          <w:bCs/>
          <w:szCs w:val="24"/>
          <w:u w:val="single"/>
        </w:rPr>
      </w:pPr>
      <w:r w:rsidRPr="003D66E7">
        <w:rPr>
          <w:rFonts w:eastAsiaTheme="majorEastAsia" w:cstheme="minorHAnsi"/>
          <w:bCs/>
          <w:szCs w:val="24"/>
          <w:u w:val="single"/>
        </w:rPr>
        <w:t>Obstarávacie náklady</w:t>
      </w:r>
    </w:p>
    <w:p w14:paraId="5C15633D" w14:textId="48692772" w:rsidR="00D06F15" w:rsidRPr="009906FE" w:rsidRDefault="009906FE" w:rsidP="00BF697D">
      <w:pPr>
        <w:tabs>
          <w:tab w:val="left" w:pos="5580"/>
        </w:tabs>
        <w:jc w:val="both"/>
        <w:rPr>
          <w:rFonts w:eastAsiaTheme="majorEastAsia" w:cstheme="minorHAnsi"/>
          <w:bCs/>
          <w:szCs w:val="24"/>
        </w:rPr>
      </w:pPr>
      <w:r>
        <w:rPr>
          <w:rFonts w:eastAsiaTheme="majorEastAsia" w:cstheme="minorHAnsi"/>
          <w:bCs/>
          <w:szCs w:val="24"/>
        </w:rPr>
        <w:t>O</w:t>
      </w:r>
      <w:r w:rsidR="00D06F15" w:rsidRPr="009906FE">
        <w:rPr>
          <w:rFonts w:eastAsiaTheme="majorEastAsia" w:cstheme="minorHAnsi"/>
          <w:bCs/>
          <w:szCs w:val="24"/>
        </w:rPr>
        <w:t xml:space="preserve">bstarávacími nákladmi </w:t>
      </w:r>
      <w:r>
        <w:rPr>
          <w:rFonts w:eastAsiaTheme="majorEastAsia" w:cstheme="minorHAnsi"/>
          <w:bCs/>
          <w:szCs w:val="24"/>
        </w:rPr>
        <w:t xml:space="preserve">pre </w:t>
      </w:r>
      <w:r w:rsidRPr="009906FE">
        <w:rPr>
          <w:rFonts w:eastAsiaTheme="majorEastAsia" w:cstheme="minorHAnsi"/>
          <w:bCs/>
          <w:szCs w:val="24"/>
        </w:rPr>
        <w:t>výstavb</w:t>
      </w:r>
      <w:r>
        <w:rPr>
          <w:rFonts w:eastAsiaTheme="majorEastAsia" w:cstheme="minorHAnsi"/>
          <w:bCs/>
          <w:szCs w:val="24"/>
        </w:rPr>
        <w:t>u</w:t>
      </w:r>
      <w:r w:rsidRPr="009906FE">
        <w:rPr>
          <w:rFonts w:eastAsiaTheme="majorEastAsia" w:cstheme="minorHAnsi"/>
          <w:bCs/>
          <w:szCs w:val="24"/>
        </w:rPr>
        <w:t xml:space="preserve"> technickej vybavenosti </w:t>
      </w:r>
      <w:r w:rsidR="00D06F15" w:rsidRPr="009906FE">
        <w:rPr>
          <w:rFonts w:eastAsiaTheme="majorEastAsia" w:cstheme="minorHAnsi"/>
          <w:bCs/>
          <w:szCs w:val="24"/>
        </w:rPr>
        <w:t>sú všetky skutočne vynaložené náklady na uskutočnenie stavby vrátane dane, ktoré sa preukazujú rozpočtom stavby a zmluvou o dodávke stavebných prác, ktorej súčasťou je rozpočet stavby vypracovaný zhotoviteľom. Do obstarávacích nákladov možno zahrnúť aj náklady na vypracovanie projektovej dokumentácie vrátane dane, preukázané zmluvou o dodávke projektových prác.</w:t>
      </w:r>
    </w:p>
    <w:p w14:paraId="222EDBAC" w14:textId="6CA8E843" w:rsidR="00D06F15" w:rsidRPr="003D66E7" w:rsidRDefault="00D06F15" w:rsidP="00BF697D">
      <w:pPr>
        <w:tabs>
          <w:tab w:val="left" w:pos="5580"/>
        </w:tabs>
        <w:jc w:val="both"/>
        <w:rPr>
          <w:rFonts w:eastAsiaTheme="majorEastAsia" w:cstheme="minorHAnsi"/>
          <w:bCs/>
          <w:szCs w:val="24"/>
        </w:rPr>
      </w:pPr>
      <w:r w:rsidRPr="003D66E7">
        <w:rPr>
          <w:rFonts w:eastAsiaTheme="majorEastAsia" w:cstheme="minorHAnsi"/>
          <w:bCs/>
          <w:szCs w:val="24"/>
        </w:rPr>
        <w:t>Do obstarávacích nákladov sa nezahŕňajú náklady na vodovodnú prípojku alebo kanalizačnú prípojku, ak sú tieto náklady zahrnuté v obstarávacích nákladoch na obstaranie nájomných bytov.</w:t>
      </w:r>
    </w:p>
    <w:p w14:paraId="46DED2BB" w14:textId="49E53535" w:rsidR="003C0DDA" w:rsidRPr="003D66E7" w:rsidRDefault="003C0DDA" w:rsidP="00BF697D">
      <w:pPr>
        <w:tabs>
          <w:tab w:val="left" w:pos="5580"/>
        </w:tabs>
        <w:jc w:val="both"/>
        <w:rPr>
          <w:rFonts w:eastAsiaTheme="majorEastAsia" w:cstheme="minorHAnsi"/>
          <w:bCs/>
          <w:szCs w:val="24"/>
          <w:u w:val="single"/>
        </w:rPr>
      </w:pPr>
      <w:r w:rsidRPr="003D66E7">
        <w:rPr>
          <w:rFonts w:eastAsiaTheme="majorEastAsia" w:cstheme="minorHAnsi"/>
          <w:bCs/>
          <w:szCs w:val="24"/>
          <w:u w:val="single"/>
        </w:rPr>
        <w:t>Základné podmienky poskytnutia NFP na obstaranie technickej vybavenosti</w:t>
      </w:r>
    </w:p>
    <w:p w14:paraId="6D472E1E" w14:textId="1D676F6C" w:rsidR="003C0DDA" w:rsidRPr="003D66E7" w:rsidRDefault="003C0DDA" w:rsidP="00BF697D">
      <w:pPr>
        <w:tabs>
          <w:tab w:val="left" w:pos="5580"/>
        </w:tabs>
        <w:jc w:val="both"/>
        <w:rPr>
          <w:rFonts w:eastAsiaTheme="majorEastAsia" w:cstheme="minorHAnsi"/>
          <w:bCs/>
          <w:szCs w:val="24"/>
        </w:rPr>
      </w:pPr>
      <w:r w:rsidRPr="003D66E7">
        <w:rPr>
          <w:rFonts w:eastAsiaTheme="majorEastAsia" w:cstheme="minorHAnsi"/>
          <w:bCs/>
          <w:szCs w:val="24"/>
        </w:rPr>
        <w:t>NFP na obstaranie technickej vybavenosti možno poskytnúť len jedenkrát a iba v tom prípade, ak technická vybavenosť súvisí s obstarávaním nájomných bytov.</w:t>
      </w:r>
    </w:p>
    <w:p w14:paraId="567F6508" w14:textId="46580C30" w:rsidR="003C0DDA" w:rsidRPr="003D66E7" w:rsidRDefault="003C0DDA" w:rsidP="00BF697D">
      <w:pPr>
        <w:tabs>
          <w:tab w:val="left" w:pos="5580"/>
        </w:tabs>
        <w:jc w:val="both"/>
        <w:rPr>
          <w:rFonts w:eastAsiaTheme="majorEastAsia" w:cstheme="minorHAnsi"/>
          <w:bCs/>
          <w:szCs w:val="24"/>
        </w:rPr>
      </w:pPr>
      <w:r w:rsidRPr="003D66E7">
        <w:rPr>
          <w:rFonts w:eastAsiaTheme="majorEastAsia" w:cstheme="minorHAnsi"/>
          <w:bCs/>
          <w:szCs w:val="24"/>
        </w:rPr>
        <w:t>NFP na výstavbu</w:t>
      </w:r>
      <w:r w:rsidR="009906FE">
        <w:rPr>
          <w:rFonts w:eastAsiaTheme="majorEastAsia" w:cstheme="minorHAnsi"/>
          <w:bCs/>
          <w:szCs w:val="24"/>
        </w:rPr>
        <w:t xml:space="preserve"> technickej vybavenosti</w:t>
      </w:r>
      <w:r w:rsidRPr="003D66E7">
        <w:rPr>
          <w:rFonts w:eastAsiaTheme="majorEastAsia" w:cstheme="minorHAnsi"/>
          <w:bCs/>
          <w:szCs w:val="24"/>
        </w:rPr>
        <w:t>, ktorá podmieňuje obstarávanie nájomných bytov, možno poskytnúť iba vtedy, ak bolo rozhodnuté o poskytnutí NFP na obstaranie nájomných bytov</w:t>
      </w:r>
      <w:r w:rsidR="005845AB">
        <w:rPr>
          <w:rFonts w:eastAsiaTheme="majorEastAsia" w:cstheme="minorHAnsi"/>
          <w:bCs/>
          <w:szCs w:val="24"/>
        </w:rPr>
        <w:t>.</w:t>
      </w:r>
    </w:p>
    <w:p w14:paraId="12171553" w14:textId="0092467A" w:rsidR="00D06F15" w:rsidRDefault="00D06F15" w:rsidP="00BF697D">
      <w:pPr>
        <w:tabs>
          <w:tab w:val="left" w:pos="5580"/>
        </w:tabs>
        <w:jc w:val="both"/>
        <w:rPr>
          <w:rFonts w:ascii="Times New Roman" w:eastAsiaTheme="majorEastAsia" w:hAnsi="Times New Roman" w:cs="Times New Roman"/>
          <w:bCs/>
          <w:sz w:val="24"/>
          <w:szCs w:val="24"/>
        </w:rPr>
      </w:pPr>
    </w:p>
    <w:p w14:paraId="2D37A74B" w14:textId="0D0E533F" w:rsidR="009B2959" w:rsidRPr="00BF697D" w:rsidRDefault="009B2959" w:rsidP="00BF697D">
      <w:pPr>
        <w:pStyle w:val="Odsekzoznamu"/>
        <w:numPr>
          <w:ilvl w:val="0"/>
          <w:numId w:val="12"/>
        </w:numPr>
        <w:jc w:val="both"/>
        <w:rPr>
          <w:rFonts w:eastAsiaTheme="majorEastAsia" w:cstheme="minorHAnsi"/>
          <w:b/>
          <w:bCs/>
          <w:color w:val="2E74B5" w:themeColor="accent1" w:themeShade="BF"/>
          <w:sz w:val="32"/>
          <w:szCs w:val="32"/>
          <w:u w:val="single"/>
        </w:rPr>
      </w:pPr>
      <w:r w:rsidRPr="00BF697D">
        <w:rPr>
          <w:rFonts w:eastAsiaTheme="majorEastAsia" w:cstheme="minorHAnsi"/>
          <w:b/>
          <w:bCs/>
          <w:color w:val="2E74B5" w:themeColor="accent1" w:themeShade="BF"/>
          <w:sz w:val="32"/>
          <w:szCs w:val="32"/>
          <w:u w:val="single"/>
        </w:rPr>
        <w:lastRenderedPageBreak/>
        <w:t>Obstaranie pozemku</w:t>
      </w:r>
    </w:p>
    <w:p w14:paraId="2A4C9A15" w14:textId="03EFC5DC" w:rsidR="006A643B" w:rsidRDefault="006A643B" w:rsidP="00BF697D">
      <w:pPr>
        <w:tabs>
          <w:tab w:val="left" w:pos="5580"/>
        </w:tabs>
        <w:jc w:val="both"/>
        <w:rPr>
          <w:rFonts w:cstheme="minorHAnsi"/>
          <w:bCs/>
        </w:rPr>
      </w:pPr>
      <w:r w:rsidRPr="006A643B">
        <w:rPr>
          <w:rFonts w:cstheme="minorHAnsi"/>
          <w:b/>
          <w:bCs/>
        </w:rPr>
        <w:t>Pozemok</w:t>
      </w:r>
      <w:r w:rsidR="00A61A11">
        <w:rPr>
          <w:rStyle w:val="Odkaznapoznmkupodiarou"/>
          <w:rFonts w:cstheme="minorHAnsi"/>
          <w:b/>
          <w:bCs/>
        </w:rPr>
        <w:footnoteReference w:id="5"/>
      </w:r>
      <w:r w:rsidRPr="006A643B">
        <w:rPr>
          <w:rFonts w:cstheme="minorHAnsi"/>
          <w:bCs/>
        </w:rPr>
        <w:t>, na ktorom (prostredníctvom ktorého) bude projekt realizovaný, musí byť vo výlučnom vlastníctve žiadateľa/prijímateľa alebo žiadateľ/prijímateľ musí mať k predmetnému pozemku iné právo (napr. dlhodobý prenájom), na základe ktorého je oprávnený užívať tento pozemok, na ktorom (prostredníctvom ktorého) bude projekt realizovaný. Túto skutočnosť musí žiadateľ/prijímateľ spĺňať počas realizácie projektu a zároveň počas obdobia udržateľnosti.</w:t>
      </w:r>
    </w:p>
    <w:p w14:paraId="6E2B1EC1" w14:textId="62B85CC0" w:rsidR="006A643B" w:rsidRDefault="006A643B" w:rsidP="00925B1F">
      <w:pPr>
        <w:tabs>
          <w:tab w:val="left" w:pos="5580"/>
        </w:tabs>
        <w:jc w:val="both"/>
        <w:rPr>
          <w:rFonts w:eastAsiaTheme="majorEastAsia" w:cstheme="minorHAnsi"/>
          <w:bCs/>
          <w:szCs w:val="24"/>
        </w:rPr>
      </w:pPr>
      <w:r w:rsidRPr="00B71A1D">
        <w:t xml:space="preserve">Na majetku hnuteľnom/nehnuteľnom, ktorý má byť stavebne zhodnotený alebo nadobudnutý z prostriedkov NFP alebo jeho časti, nesmie </w:t>
      </w:r>
      <w:r>
        <w:t xml:space="preserve">viaznuť ani </w:t>
      </w:r>
      <w:r w:rsidRPr="00B71A1D">
        <w:t xml:space="preserve">byť zriadené záložné právo </w:t>
      </w:r>
      <w:r w:rsidRPr="008E56E3">
        <w:t xml:space="preserve">v čase pred podaním </w:t>
      </w:r>
      <w:proofErr w:type="spellStart"/>
      <w:r w:rsidRPr="008E56E3">
        <w:t>ŽoNFP</w:t>
      </w:r>
      <w:proofErr w:type="spellEnd"/>
      <w:r w:rsidRPr="008E56E3">
        <w:t xml:space="preserve"> do uzavretia Zmluvy o poskytnutí NFP</w:t>
      </w:r>
      <w:r>
        <w:t>, s výnimkou už zriadeného záložného práva v prospech Štátneho fondu rozvoja bývania v zmysle zákona č. 150/2013 Z. z. o Štátnom fonde rozvoja bývania v znení neskorších predpisov</w:t>
      </w:r>
      <w:ins w:id="10" w:author="Bédiová Jana" w:date="2025-05-05T12:56:00Z" w16du:dateUtc="2025-05-05T10:56:00Z">
        <w:r w:rsidR="00B50BC7">
          <w:t xml:space="preserve"> </w:t>
        </w:r>
        <w:r w:rsidR="00B50BC7" w:rsidRPr="00B50BC7">
          <w:t>a s výnimkou už zriadeného záložného práva v prospech Ministerstva dopravy Slovenskej republiky v zmysle zákona č. 443/2010 Z. z. o dotáciách na rozvoj bývania a o sociálnom bývaní v znení neskorších predpisov</w:t>
        </w:r>
      </w:ins>
      <w:r w:rsidR="00B50BC7" w:rsidRPr="00B50BC7">
        <w:t>.</w:t>
      </w:r>
      <w:r w:rsidR="00B50BC7">
        <w:t xml:space="preserve"> </w:t>
      </w:r>
    </w:p>
    <w:p w14:paraId="7486F357" w14:textId="05B85816" w:rsidR="009B2959" w:rsidRPr="009B2959" w:rsidRDefault="009B2959" w:rsidP="00BF697D">
      <w:pPr>
        <w:tabs>
          <w:tab w:val="left" w:pos="5580"/>
        </w:tabs>
        <w:jc w:val="both"/>
        <w:rPr>
          <w:rFonts w:cstheme="minorHAnsi"/>
          <w:bCs/>
        </w:rPr>
      </w:pPr>
      <w:r w:rsidRPr="009B2959">
        <w:rPr>
          <w:rFonts w:cstheme="minorHAnsi"/>
          <w:bCs/>
        </w:rPr>
        <w:t xml:space="preserve">Súčasťou </w:t>
      </w:r>
      <w:r>
        <w:rPr>
          <w:rFonts w:cstheme="minorHAnsi"/>
          <w:bCs/>
        </w:rPr>
        <w:t>projektu môže byť aj obstaranie pozemku</w:t>
      </w:r>
      <w:r w:rsidR="00201897">
        <w:rPr>
          <w:rFonts w:cstheme="minorHAnsi"/>
          <w:bCs/>
        </w:rPr>
        <w:t xml:space="preserve">, na ktorom má byť projekt realizovaný. </w:t>
      </w:r>
    </w:p>
    <w:p w14:paraId="5E3C3F91" w14:textId="71163470" w:rsidR="009B2959" w:rsidRDefault="00201897" w:rsidP="00BF697D">
      <w:pPr>
        <w:tabs>
          <w:tab w:val="left" w:pos="5580"/>
        </w:tabs>
        <w:jc w:val="both"/>
        <w:rPr>
          <w:rFonts w:cstheme="minorHAnsi"/>
        </w:rPr>
      </w:pPr>
      <w:r>
        <w:rPr>
          <w:rFonts w:cstheme="minorHAnsi"/>
          <w:b/>
          <w:bCs/>
        </w:rPr>
        <w:t xml:space="preserve">V prípade </w:t>
      </w:r>
      <w:r w:rsidR="009B2959">
        <w:rPr>
          <w:rFonts w:cstheme="minorHAnsi"/>
          <w:b/>
          <w:bCs/>
        </w:rPr>
        <w:t>ná</w:t>
      </w:r>
      <w:r w:rsidR="009B2959" w:rsidRPr="008146B2">
        <w:rPr>
          <w:rFonts w:cstheme="minorHAnsi"/>
          <w:b/>
          <w:bCs/>
        </w:rPr>
        <w:t>kup</w:t>
      </w:r>
      <w:r>
        <w:rPr>
          <w:rFonts w:cstheme="minorHAnsi"/>
          <w:b/>
          <w:bCs/>
        </w:rPr>
        <w:t>u</w:t>
      </w:r>
      <w:r w:rsidR="009B2959" w:rsidRPr="008146B2">
        <w:rPr>
          <w:rFonts w:cstheme="minorHAnsi"/>
          <w:b/>
          <w:bCs/>
        </w:rPr>
        <w:t xml:space="preserve"> pozemkov</w:t>
      </w:r>
      <w:r w:rsidR="009B2959" w:rsidRPr="008146B2">
        <w:rPr>
          <w:rStyle w:val="Odkaznapoznmkupodiarou"/>
          <w:rFonts w:cstheme="minorHAnsi"/>
        </w:rPr>
        <w:footnoteReference w:id="6"/>
      </w:r>
      <w:r w:rsidR="009B2959" w:rsidRPr="008146B2">
        <w:rPr>
          <w:rFonts w:cstheme="minorHAnsi"/>
        </w:rPr>
        <w:t xml:space="preserve">, na ktorých má byť projekt realizovaný, </w:t>
      </w:r>
      <w:r>
        <w:rPr>
          <w:rFonts w:cstheme="minorHAnsi"/>
        </w:rPr>
        <w:t xml:space="preserve">môžu byť obstarávacie náklady </w:t>
      </w:r>
      <w:r w:rsidR="009B2959" w:rsidRPr="008146B2">
        <w:rPr>
          <w:rFonts w:cstheme="minorHAnsi"/>
        </w:rPr>
        <w:t>vo výške maximálne 10 % celkových oprávnených priamych výdavkov na projekt, vrátane výdavkov na nákup pozemkov</w:t>
      </w:r>
      <w:r>
        <w:rPr>
          <w:rFonts w:cstheme="minorHAnsi"/>
        </w:rPr>
        <w:t>.</w:t>
      </w:r>
    </w:p>
    <w:p w14:paraId="3853CB57" w14:textId="334B20FC" w:rsidR="000938CB" w:rsidRDefault="000938CB" w:rsidP="00BF697D">
      <w:pPr>
        <w:tabs>
          <w:tab w:val="left" w:pos="5580"/>
        </w:tabs>
        <w:spacing w:after="0"/>
        <w:jc w:val="both"/>
      </w:pPr>
      <w:r w:rsidRPr="000938CB">
        <w:rPr>
          <w:b/>
        </w:rPr>
        <w:t>Výdavky na nákup pozemkov sú oprávnenými výdavkami</w:t>
      </w:r>
      <w:r>
        <w:t xml:space="preserve"> v prípade, že sú splnené nasledujúce podmienky:</w:t>
      </w:r>
    </w:p>
    <w:p w14:paraId="01AC938A" w14:textId="355AAAC6" w:rsidR="000938CB" w:rsidRDefault="000938CB" w:rsidP="00BF697D">
      <w:pPr>
        <w:tabs>
          <w:tab w:val="left" w:pos="5580"/>
        </w:tabs>
        <w:spacing w:after="0"/>
        <w:jc w:val="both"/>
      </w:pPr>
      <w:r>
        <w:t xml:space="preserve">a) </w:t>
      </w:r>
      <w:r w:rsidR="00B87252">
        <w:t xml:space="preserve"> </w:t>
      </w:r>
      <w:r>
        <w:t xml:space="preserve">výdavky na nákup pozemkov nepresiahnu hodnotu 10 % celkových oprávnených výdavkov na projekt (vrátane výdavkov na nákup pozemku); v prípade zanedbaných plôch a plôch, ktoré sa v minulosti používali na priemyselné účely a ktorých súčasťou sú budovy, sa toto obmedzenie zvyšuje na 15 %. </w:t>
      </w:r>
    </w:p>
    <w:p w14:paraId="54A4BAD2" w14:textId="0F4B3D17" w:rsidR="000938CB" w:rsidRDefault="000938CB" w:rsidP="00BF697D">
      <w:pPr>
        <w:tabs>
          <w:tab w:val="left" w:pos="5580"/>
        </w:tabs>
        <w:spacing w:after="0"/>
        <w:jc w:val="both"/>
      </w:pPr>
      <w:r>
        <w:t xml:space="preserve">b) v prípade identifikácie neoprávnených výdavkov v rámci projektu je potrebné upraviť výšku celkových oprávnených výdavkov na projekt a z tejto sumy počítať maximálne percento výdavkov na nákup pozemku; </w:t>
      </w:r>
    </w:p>
    <w:p w14:paraId="4E9FF224" w14:textId="146F7637" w:rsidR="000938CB" w:rsidRDefault="000938CB" w:rsidP="00BF697D">
      <w:pPr>
        <w:tabs>
          <w:tab w:val="left" w:pos="5580"/>
        </w:tabs>
        <w:spacing w:after="0"/>
        <w:jc w:val="both"/>
      </w:pPr>
      <w:r>
        <w:t xml:space="preserve">c) pozemok bude ohodnotený znaleckým posudkom (nie starším ako  je lehota stanovená RO) vyhotoveným znalcom  podľa zákona o znalcoch, tlmočníkoch a prekladateľoch alebo na to určeným oprávneným orgánom alebo jeho cena vyplýva z rozhodnutia podľa osobitných predpisov; </w:t>
      </w:r>
    </w:p>
    <w:p w14:paraId="6919367A" w14:textId="30800A96" w:rsidR="000938CB" w:rsidRDefault="000938CB" w:rsidP="00BF697D">
      <w:pPr>
        <w:tabs>
          <w:tab w:val="left" w:pos="5580"/>
        </w:tabs>
        <w:spacing w:after="0"/>
        <w:jc w:val="both"/>
      </w:pPr>
      <w:r>
        <w:t>d)</w:t>
      </w:r>
      <w:r w:rsidR="00B87252">
        <w:t xml:space="preserve">  </w:t>
      </w:r>
      <w:r>
        <w:t xml:space="preserve">oprávneným výdavkom je výdavok na nákup pozemku; </w:t>
      </w:r>
    </w:p>
    <w:p w14:paraId="074BD9A4" w14:textId="77777777" w:rsidR="000938CB" w:rsidRDefault="000938CB" w:rsidP="00BF697D">
      <w:pPr>
        <w:tabs>
          <w:tab w:val="left" w:pos="5580"/>
        </w:tabs>
        <w:spacing w:after="0"/>
        <w:jc w:val="both"/>
      </w:pPr>
      <w:r>
        <w:t>e) žiadateľ/prijímateľ, ani žiaden z predchádzajúcich vlastníkov pozemku nezískal príspevok zo všeobecného rozpočtu EÚ na nákup daného pozemku, čo by v prípade spolufinancovania nákupu z prostriedkov fondov EÚ viedlo k duplicitnému financovaniu, a tým k vzniku neoprávnených výdavkov.</w:t>
      </w:r>
    </w:p>
    <w:p w14:paraId="03E90A99" w14:textId="2EE1F53E" w:rsidR="000938CB" w:rsidRDefault="000938CB" w:rsidP="00BF697D">
      <w:pPr>
        <w:tabs>
          <w:tab w:val="left" w:pos="5580"/>
        </w:tabs>
        <w:spacing w:after="0"/>
        <w:jc w:val="both"/>
      </w:pPr>
      <w:r>
        <w:t>Ak RO identifikuje pri kúpe pozemku konflikt záujmov v zmysle § 45 ods. 1 zákona o príspevkoch z fondov, výdavky na kúpu pozemku budú neoprávnené v plnom rozsahu.</w:t>
      </w:r>
    </w:p>
    <w:p w14:paraId="54A97821" w14:textId="77777777" w:rsidR="006A643B" w:rsidRDefault="000938CB" w:rsidP="00BF697D">
      <w:pPr>
        <w:tabs>
          <w:tab w:val="left" w:pos="5580"/>
        </w:tabs>
        <w:jc w:val="both"/>
      </w:pPr>
      <w:r>
        <w:t> </w:t>
      </w:r>
    </w:p>
    <w:p w14:paraId="4EBAB8A1" w14:textId="2465137D" w:rsidR="000938CB" w:rsidRDefault="000938CB" w:rsidP="00BF697D">
      <w:pPr>
        <w:tabs>
          <w:tab w:val="left" w:pos="5580"/>
        </w:tabs>
        <w:jc w:val="both"/>
      </w:pPr>
      <w:r w:rsidRPr="000938CB">
        <w:rPr>
          <w:b/>
        </w:rPr>
        <w:lastRenderedPageBreak/>
        <w:t>Odporúčané doklady</w:t>
      </w:r>
      <w:r>
        <w:t xml:space="preserve"> preukazujúce oprávnenosť výdavkov:</w:t>
      </w:r>
    </w:p>
    <w:p w14:paraId="6C49D326" w14:textId="77777777" w:rsidR="000938CB" w:rsidRDefault="000938CB" w:rsidP="00BF697D">
      <w:pPr>
        <w:tabs>
          <w:tab w:val="left" w:pos="5580"/>
        </w:tabs>
        <w:spacing w:after="0"/>
        <w:jc w:val="both"/>
      </w:pPr>
      <w:r>
        <w:t>- znalecký posudok na účel ocenenia pozemku</w:t>
      </w:r>
    </w:p>
    <w:p w14:paraId="673650C3" w14:textId="77777777" w:rsidR="000938CB" w:rsidRDefault="000938CB" w:rsidP="00BF697D">
      <w:pPr>
        <w:tabs>
          <w:tab w:val="left" w:pos="5580"/>
        </w:tabs>
        <w:spacing w:after="0"/>
        <w:jc w:val="both"/>
      </w:pPr>
      <w:r>
        <w:t xml:space="preserve">- kúpna zmluva; </w:t>
      </w:r>
    </w:p>
    <w:p w14:paraId="29C541B3" w14:textId="77777777" w:rsidR="000938CB" w:rsidRDefault="000938CB" w:rsidP="00BF697D">
      <w:pPr>
        <w:tabs>
          <w:tab w:val="left" w:pos="5580"/>
        </w:tabs>
        <w:spacing w:after="0"/>
        <w:jc w:val="both"/>
      </w:pPr>
      <w:r>
        <w:t>- doklad preukazujúci vlastnícke práva k pozemku (ak je to relevantné);</w:t>
      </w:r>
    </w:p>
    <w:p w14:paraId="0F764958" w14:textId="77777777" w:rsidR="000938CB" w:rsidRDefault="000938CB" w:rsidP="00BF697D">
      <w:pPr>
        <w:tabs>
          <w:tab w:val="left" w:pos="5580"/>
        </w:tabs>
        <w:spacing w:after="0"/>
        <w:jc w:val="both"/>
      </w:pPr>
      <w:r>
        <w:t>- doklad o tom, že žiadateľ/prijímateľ, ani žiadny z predchádzajúcich vlastníkov pozemku nezískal príspevok zo všeobecného rozpočtu EÚ na nákup daného pozemku, napr. formou čestného vyhlásenia;</w:t>
      </w:r>
    </w:p>
    <w:p w14:paraId="47E87C3A" w14:textId="77777777" w:rsidR="000938CB" w:rsidRDefault="000938CB" w:rsidP="00BF697D">
      <w:pPr>
        <w:tabs>
          <w:tab w:val="left" w:pos="5580"/>
        </w:tabs>
        <w:spacing w:after="0"/>
        <w:jc w:val="both"/>
      </w:pPr>
      <w:r>
        <w:t>- účtovný doklad;</w:t>
      </w:r>
    </w:p>
    <w:p w14:paraId="7BE6A971" w14:textId="3CF28CF2" w:rsidR="00201897" w:rsidRDefault="000938CB" w:rsidP="00BF697D">
      <w:pPr>
        <w:tabs>
          <w:tab w:val="left" w:pos="5580"/>
        </w:tabs>
        <w:spacing w:after="0"/>
        <w:jc w:val="both"/>
      </w:pPr>
      <w:r>
        <w:t>- doklad o úhrade.</w:t>
      </w:r>
    </w:p>
    <w:p w14:paraId="77B74950" w14:textId="77777777" w:rsidR="00AD47C6" w:rsidRPr="009B2959" w:rsidRDefault="00AD47C6" w:rsidP="00BF697D">
      <w:pPr>
        <w:tabs>
          <w:tab w:val="left" w:pos="5580"/>
        </w:tabs>
        <w:jc w:val="both"/>
      </w:pPr>
    </w:p>
    <w:p w14:paraId="6F3585FB" w14:textId="123EA0C9" w:rsidR="0098271E" w:rsidRPr="00BF697D" w:rsidRDefault="0098271E" w:rsidP="00BF697D">
      <w:pPr>
        <w:pStyle w:val="Odsekzoznamu"/>
        <w:numPr>
          <w:ilvl w:val="0"/>
          <w:numId w:val="12"/>
        </w:numPr>
        <w:jc w:val="both"/>
        <w:rPr>
          <w:rFonts w:eastAsiaTheme="majorEastAsia" w:cstheme="minorHAnsi"/>
          <w:color w:val="2E74B5" w:themeColor="accent1" w:themeShade="BF"/>
          <w:sz w:val="32"/>
          <w:szCs w:val="32"/>
        </w:rPr>
      </w:pPr>
      <w:r w:rsidRPr="00BF697D">
        <w:rPr>
          <w:rFonts w:eastAsiaTheme="majorEastAsia" w:cstheme="minorHAnsi"/>
          <w:color w:val="2E74B5" w:themeColor="accent1" w:themeShade="BF"/>
          <w:sz w:val="32"/>
          <w:szCs w:val="32"/>
        </w:rPr>
        <w:t>Vybavenie bytov</w:t>
      </w:r>
    </w:p>
    <w:p w14:paraId="3123B169" w14:textId="17EC87AA" w:rsidR="0098271E" w:rsidRDefault="001A4BAF" w:rsidP="00BF697D">
      <w:pPr>
        <w:tabs>
          <w:tab w:val="left" w:pos="5580"/>
        </w:tabs>
        <w:jc w:val="both"/>
      </w:pPr>
      <w:r>
        <w:t>Podporené nájomné byty v rámci tejto výzvy musia byť pri kolaudácii a pri zaradení takto obstaraného majetku do užívania vybavené okrem štandardného zariadenia (</w:t>
      </w:r>
      <w:proofErr w:type="spellStart"/>
      <w:r>
        <w:t>sanita</w:t>
      </w:r>
      <w:proofErr w:type="spellEnd"/>
      <w:r>
        <w:t>, kuchynská linka</w:t>
      </w:r>
      <w:r w:rsidR="00404154">
        <w:t xml:space="preserve"> s minimálnou dĺžkou 2,50 m vrátane </w:t>
      </w:r>
      <w:r w:rsidR="00C34026">
        <w:t xml:space="preserve">1 </w:t>
      </w:r>
      <w:r w:rsidR="00404154">
        <w:t>zariadenia na odsávanie pár</w:t>
      </w:r>
      <w:r w:rsidR="00C34026">
        <w:t xml:space="preserve"> na každý byt</w:t>
      </w:r>
      <w:r>
        <w:t>) aj ďalším</w:t>
      </w:r>
      <w:r w:rsidR="009A091D">
        <w:t>i</w:t>
      </w:r>
      <w:r>
        <w:t xml:space="preserve"> zariadeniami, ktoré sú:</w:t>
      </w:r>
    </w:p>
    <w:p w14:paraId="3EEE4C91" w14:textId="3B22E938" w:rsidR="001A4BAF" w:rsidRDefault="00C34026" w:rsidP="00BF697D">
      <w:pPr>
        <w:pStyle w:val="Odsekzoznamu"/>
        <w:numPr>
          <w:ilvl w:val="0"/>
          <w:numId w:val="28"/>
        </w:numPr>
        <w:tabs>
          <w:tab w:val="left" w:pos="5580"/>
        </w:tabs>
        <w:jc w:val="both"/>
      </w:pPr>
      <w:r>
        <w:t>1 z</w:t>
      </w:r>
      <w:r w:rsidR="0098271E">
        <w:t xml:space="preserve">ariadenie na prípravu stravy </w:t>
      </w:r>
      <w:r>
        <w:t xml:space="preserve">na každý byt </w:t>
      </w:r>
      <w:r w:rsidR="0098271E">
        <w:t>(podľa dostupného zdroja to môže byť plyn, elektrika)</w:t>
      </w:r>
    </w:p>
    <w:p w14:paraId="13A2FE72" w14:textId="4559E32F" w:rsidR="009906FE" w:rsidRDefault="00C34026" w:rsidP="00BF697D">
      <w:pPr>
        <w:pStyle w:val="Odsekzoznamu"/>
        <w:numPr>
          <w:ilvl w:val="1"/>
          <w:numId w:val="28"/>
        </w:numPr>
        <w:tabs>
          <w:tab w:val="left" w:pos="5580"/>
        </w:tabs>
        <w:jc w:val="both"/>
      </w:pPr>
      <w:r>
        <w:t xml:space="preserve">1 </w:t>
      </w:r>
      <w:proofErr w:type="spellStart"/>
      <w:r w:rsidR="009906FE">
        <w:t>sklokeramická</w:t>
      </w:r>
      <w:proofErr w:type="spellEnd"/>
      <w:r w:rsidR="009906FE">
        <w:t xml:space="preserve"> </w:t>
      </w:r>
      <w:r w:rsidR="0098271E">
        <w:t>varná doska</w:t>
      </w:r>
      <w:r w:rsidR="009906FE">
        <w:t>/</w:t>
      </w:r>
      <w:r w:rsidR="0098271E">
        <w:t>plynová varná doska</w:t>
      </w:r>
      <w:r w:rsidR="009906FE">
        <w:t xml:space="preserve"> vrátane vstavanej elektrickej rúry</w:t>
      </w:r>
      <w:r>
        <w:t xml:space="preserve"> alebo</w:t>
      </w:r>
    </w:p>
    <w:p w14:paraId="0AB6D0D2" w14:textId="0DED93BF" w:rsidR="009906FE" w:rsidRDefault="00C34026" w:rsidP="00BF697D">
      <w:pPr>
        <w:pStyle w:val="Odsekzoznamu"/>
        <w:numPr>
          <w:ilvl w:val="1"/>
          <w:numId w:val="28"/>
        </w:numPr>
        <w:tabs>
          <w:tab w:val="left" w:pos="5580"/>
        </w:tabs>
        <w:jc w:val="both"/>
      </w:pPr>
      <w:r>
        <w:t>1</w:t>
      </w:r>
      <w:r w:rsidR="009906FE">
        <w:t> samostatne stojaci sporák (</w:t>
      </w:r>
      <w:proofErr w:type="spellStart"/>
      <w:r w:rsidR="009906FE">
        <w:t>sklokeramický</w:t>
      </w:r>
      <w:proofErr w:type="spellEnd"/>
      <w:r w:rsidR="009906FE">
        <w:t>/plynový/kombinovaný)</w:t>
      </w:r>
    </w:p>
    <w:p w14:paraId="032FDF33" w14:textId="39572752" w:rsidR="001A4BAF" w:rsidRDefault="001A4BAF" w:rsidP="00BF697D">
      <w:pPr>
        <w:tabs>
          <w:tab w:val="left" w:pos="5580"/>
        </w:tabs>
        <w:jc w:val="both"/>
      </w:pPr>
      <w:r>
        <w:t xml:space="preserve">Podmienky: </w:t>
      </w:r>
      <w:r w:rsidRPr="001A4BAF">
        <w:t>rozmery varnej dosky max do 600 x 560 mm, minimálne tri samostatné miesta na umiestnenie nádoby na varenie vrátane bezpečného uvedenia do prevádzky</w:t>
      </w:r>
      <w:r>
        <w:t>.</w:t>
      </w:r>
    </w:p>
    <w:p w14:paraId="6EC32A7C" w14:textId="246D53C0" w:rsidR="0098271E" w:rsidRDefault="00C34026" w:rsidP="00BF697D">
      <w:pPr>
        <w:pStyle w:val="Odsekzoznamu"/>
        <w:numPr>
          <w:ilvl w:val="0"/>
          <w:numId w:val="30"/>
        </w:numPr>
        <w:tabs>
          <w:tab w:val="left" w:pos="5580"/>
        </w:tabs>
        <w:jc w:val="both"/>
      </w:pPr>
      <w:r>
        <w:t>1 z</w:t>
      </w:r>
      <w:r w:rsidR="0098271E">
        <w:t>ariadenie na bezpečné uskladnenie a uchovanie potravín</w:t>
      </w:r>
      <w:r>
        <w:t xml:space="preserve"> na každý byt</w:t>
      </w:r>
      <w:r w:rsidR="0098271E">
        <w:t xml:space="preserve"> (chladnička s mraziacou priehradkou alebo chladnička s mrazničkou)</w:t>
      </w:r>
    </w:p>
    <w:p w14:paraId="07AAF6C5" w14:textId="007FD54E" w:rsidR="0098271E" w:rsidRDefault="001A4BAF" w:rsidP="00BF697D">
      <w:pPr>
        <w:tabs>
          <w:tab w:val="left" w:pos="5580"/>
        </w:tabs>
        <w:jc w:val="both"/>
      </w:pPr>
      <w:r>
        <w:t xml:space="preserve">Podmienky: </w:t>
      </w:r>
      <w:r w:rsidRPr="001A4BAF">
        <w:t xml:space="preserve">rozmery </w:t>
      </w:r>
      <w:r>
        <w:t>chladničky s mraziacou priehradkou/chladničky s mrazničkou</w:t>
      </w:r>
      <w:r w:rsidRPr="001A4BAF">
        <w:t xml:space="preserve"> max do 600 x 600 x 1500 mm, celkový objem min 125 litrov vrátane bezpečného uvedenia do prevádzky</w:t>
      </w:r>
    </w:p>
    <w:p w14:paraId="371234F8" w14:textId="77777777" w:rsidR="009906FE" w:rsidRPr="0098271E" w:rsidRDefault="009906FE" w:rsidP="00BF697D">
      <w:pPr>
        <w:tabs>
          <w:tab w:val="left" w:pos="5580"/>
        </w:tabs>
        <w:jc w:val="both"/>
      </w:pPr>
    </w:p>
    <w:p w14:paraId="632BA609" w14:textId="4FE3BF7A" w:rsidR="009B2959" w:rsidRPr="00BF697D" w:rsidRDefault="009B2959" w:rsidP="00BF697D">
      <w:pPr>
        <w:pStyle w:val="Odsekzoznamu"/>
        <w:numPr>
          <w:ilvl w:val="0"/>
          <w:numId w:val="12"/>
        </w:numPr>
        <w:jc w:val="both"/>
        <w:rPr>
          <w:rFonts w:eastAsiaTheme="majorEastAsia" w:cstheme="minorHAnsi"/>
          <w:color w:val="2E74B5" w:themeColor="accent1" w:themeShade="BF"/>
          <w:sz w:val="32"/>
          <w:szCs w:val="32"/>
        </w:rPr>
      </w:pPr>
      <w:r w:rsidRPr="00BF697D">
        <w:rPr>
          <w:rFonts w:eastAsiaTheme="majorEastAsia" w:cstheme="minorHAnsi"/>
          <w:color w:val="2E74B5" w:themeColor="accent1" w:themeShade="BF"/>
          <w:sz w:val="32"/>
          <w:szCs w:val="32"/>
        </w:rPr>
        <w:t>Limit výšky obstarávacích nákladov</w:t>
      </w:r>
    </w:p>
    <w:p w14:paraId="60809458" w14:textId="6FE95BF8" w:rsidR="00781644" w:rsidRDefault="009B2959" w:rsidP="00BF697D">
      <w:pPr>
        <w:tabs>
          <w:tab w:val="left" w:pos="5580"/>
        </w:tabs>
        <w:jc w:val="both"/>
      </w:pPr>
      <w:r>
        <w:t xml:space="preserve">Limity výšky obstarávacích nákladov upravuje Príloha č. </w:t>
      </w:r>
      <w:r w:rsidR="00BB777A">
        <w:t>3</w:t>
      </w:r>
      <w:r>
        <w:t xml:space="preserve"> – Zoznam oprávnených výdavkov. </w:t>
      </w:r>
    </w:p>
    <w:p w14:paraId="6EC18898" w14:textId="6EB26477" w:rsidR="009B2959" w:rsidRPr="00201897" w:rsidRDefault="009B2959" w:rsidP="00BF697D">
      <w:pPr>
        <w:tabs>
          <w:tab w:val="left" w:pos="5580"/>
        </w:tabs>
        <w:spacing w:after="0"/>
        <w:jc w:val="both"/>
      </w:pPr>
    </w:p>
    <w:p w14:paraId="4698DFC2" w14:textId="31980F90" w:rsidR="00201897" w:rsidRPr="00BF697D" w:rsidRDefault="00201897" w:rsidP="00BF697D">
      <w:pPr>
        <w:pStyle w:val="Odsekzoznamu"/>
        <w:numPr>
          <w:ilvl w:val="0"/>
          <w:numId w:val="12"/>
        </w:numPr>
        <w:jc w:val="both"/>
        <w:rPr>
          <w:rFonts w:eastAsiaTheme="majorEastAsia" w:cstheme="minorHAnsi"/>
          <w:color w:val="2E74B5" w:themeColor="accent1" w:themeShade="BF"/>
          <w:sz w:val="32"/>
          <w:szCs w:val="32"/>
        </w:rPr>
      </w:pPr>
      <w:r w:rsidRPr="00BF697D">
        <w:rPr>
          <w:rFonts w:eastAsiaTheme="majorEastAsia" w:cstheme="minorHAnsi"/>
          <w:color w:val="2E74B5" w:themeColor="accent1" w:themeShade="BF"/>
          <w:sz w:val="32"/>
          <w:szCs w:val="32"/>
        </w:rPr>
        <w:t>Oprávnené osoby na nájom podporeného bytu</w:t>
      </w:r>
    </w:p>
    <w:p w14:paraId="1AC3F647" w14:textId="0506A265" w:rsidR="009B2959" w:rsidRDefault="000938CB" w:rsidP="00BF697D">
      <w:pPr>
        <w:tabs>
          <w:tab w:val="left" w:pos="5580"/>
        </w:tabs>
        <w:jc w:val="both"/>
      </w:pPr>
      <w:r>
        <w:t>V zmysle §22 ods</w:t>
      </w:r>
      <w:r w:rsidR="003D66E7">
        <w:t>.</w:t>
      </w:r>
      <w:r>
        <w:t xml:space="preserve"> (3) zákona č. 443/2010 Z.</w:t>
      </w:r>
      <w:r w:rsidR="003D66E7">
        <w:t xml:space="preserve"> </w:t>
      </w:r>
      <w:r>
        <w:t>z. o dotáciách na rozvoj bývania a o sociálnom bývaní je oprávnenou fyzickou osobou na nájom bytu:</w:t>
      </w:r>
    </w:p>
    <w:p w14:paraId="17CE7017" w14:textId="77777777" w:rsidR="000938CB" w:rsidRDefault="000938CB" w:rsidP="00BF697D">
      <w:pPr>
        <w:pStyle w:val="Odsekzoznamu"/>
        <w:numPr>
          <w:ilvl w:val="0"/>
          <w:numId w:val="23"/>
        </w:numPr>
        <w:tabs>
          <w:tab w:val="left" w:pos="5580"/>
        </w:tabs>
        <w:jc w:val="both"/>
      </w:pPr>
      <w:r w:rsidRPr="000938CB">
        <w:t>osoba, ktorej mesačný príjem spolu s mesačným príjmom ostatných osôb žijúcich v byte je najviac vo výške trojnásobku životného minima,</w:t>
      </w:r>
    </w:p>
    <w:p w14:paraId="647CC339" w14:textId="77777777" w:rsidR="000938CB" w:rsidRDefault="000938CB" w:rsidP="00BF697D">
      <w:pPr>
        <w:pStyle w:val="Odsekzoznamu"/>
        <w:numPr>
          <w:ilvl w:val="0"/>
          <w:numId w:val="23"/>
        </w:numPr>
        <w:tabs>
          <w:tab w:val="left" w:pos="5580"/>
        </w:tabs>
        <w:jc w:val="both"/>
      </w:pPr>
      <w:r w:rsidRPr="000938CB">
        <w:t>osoba, ktorej mesačný príjem spolu s mesačným príjmom ostatných osôb žijúcich v byte je najviac vo výške päťnásobku životného minima, ak</w:t>
      </w:r>
    </w:p>
    <w:p w14:paraId="3E26263F" w14:textId="77777777" w:rsidR="000938CB" w:rsidRDefault="000938CB" w:rsidP="00BF697D">
      <w:pPr>
        <w:pStyle w:val="Odsekzoznamu"/>
        <w:numPr>
          <w:ilvl w:val="1"/>
          <w:numId w:val="23"/>
        </w:numPr>
        <w:tabs>
          <w:tab w:val="left" w:pos="5580"/>
        </w:tabs>
        <w:jc w:val="both"/>
      </w:pPr>
      <w:r w:rsidRPr="000938CB">
        <w:t>osoba žijúca v byte je osoba s ťažkým zdravotným postihnutím,</w:t>
      </w:r>
    </w:p>
    <w:p w14:paraId="5E3E7DB0" w14:textId="77777777" w:rsidR="000938CB" w:rsidRDefault="000938CB" w:rsidP="00BF697D">
      <w:pPr>
        <w:pStyle w:val="Odsekzoznamu"/>
        <w:numPr>
          <w:ilvl w:val="1"/>
          <w:numId w:val="23"/>
        </w:numPr>
        <w:tabs>
          <w:tab w:val="left" w:pos="5580"/>
        </w:tabs>
        <w:jc w:val="both"/>
      </w:pPr>
      <w:r w:rsidRPr="000938CB">
        <w:t>ide o osamelého rodiča s nezaopatreným dieťaťom,</w:t>
      </w:r>
    </w:p>
    <w:p w14:paraId="1148BA83" w14:textId="161FD517" w:rsidR="000938CB" w:rsidRPr="000938CB" w:rsidRDefault="000938CB" w:rsidP="00BF697D">
      <w:pPr>
        <w:pStyle w:val="Odsekzoznamu"/>
        <w:numPr>
          <w:ilvl w:val="1"/>
          <w:numId w:val="23"/>
        </w:numPr>
        <w:tabs>
          <w:tab w:val="left" w:pos="5580"/>
        </w:tabs>
        <w:jc w:val="both"/>
      </w:pPr>
      <w:r w:rsidRPr="000938CB">
        <w:lastRenderedPageBreak/>
        <w:t>aspoň jedna z osôb žijúcich v byte zabezpečuje zdravotnú starostlivosť, sociálne a ďalšie služby vo verejnom záujme, vzdelávanie, kultúru alebo ochranu obyvateľov obce,</w:t>
      </w:r>
    </w:p>
    <w:p w14:paraId="6BE7B834" w14:textId="77777777" w:rsidR="000938CB" w:rsidRDefault="000938CB" w:rsidP="00BF697D">
      <w:pPr>
        <w:pStyle w:val="Odsekzoznamu"/>
        <w:numPr>
          <w:ilvl w:val="0"/>
          <w:numId w:val="23"/>
        </w:numPr>
        <w:tabs>
          <w:tab w:val="left" w:pos="5580"/>
        </w:tabs>
        <w:jc w:val="both"/>
      </w:pPr>
      <w:r w:rsidRPr="000938CB">
        <w:t>osoba, ktorá žije v byte sama a ktorej mesačný príjem je najviac vo výške štvornásobku životného minima,</w:t>
      </w:r>
    </w:p>
    <w:p w14:paraId="1699B29E" w14:textId="77777777" w:rsidR="000938CB" w:rsidRDefault="000938CB" w:rsidP="00BF697D">
      <w:pPr>
        <w:pStyle w:val="Odsekzoznamu"/>
        <w:numPr>
          <w:ilvl w:val="0"/>
          <w:numId w:val="23"/>
        </w:numPr>
        <w:tabs>
          <w:tab w:val="left" w:pos="5580"/>
        </w:tabs>
        <w:jc w:val="both"/>
      </w:pPr>
      <w:r w:rsidRPr="000938CB">
        <w:t>osoba, ktorá nepresiahla vek 30 rokov a</w:t>
      </w:r>
    </w:p>
    <w:p w14:paraId="505C65E6" w14:textId="77777777" w:rsidR="000938CB" w:rsidRDefault="000938CB" w:rsidP="00BF697D">
      <w:pPr>
        <w:pStyle w:val="Odsekzoznamu"/>
        <w:numPr>
          <w:ilvl w:val="1"/>
          <w:numId w:val="23"/>
        </w:numPr>
        <w:tabs>
          <w:tab w:val="left" w:pos="5580"/>
        </w:tabs>
        <w:jc w:val="both"/>
      </w:pPr>
      <w:r w:rsidRPr="000938CB">
        <w:t>ktorej sa skončilo poskytovanie starostlivosti v zariadení na základe rozhodnutia súdu o neodkladnom opatrení, výchovnom opatrení alebo ústavnej starostlivosti,</w:t>
      </w:r>
    </w:p>
    <w:p w14:paraId="7BAC80A3" w14:textId="77777777" w:rsidR="000938CB" w:rsidRDefault="000938CB" w:rsidP="00BF697D">
      <w:pPr>
        <w:pStyle w:val="Odsekzoznamu"/>
        <w:numPr>
          <w:ilvl w:val="1"/>
          <w:numId w:val="23"/>
        </w:numPr>
        <w:tabs>
          <w:tab w:val="left" w:pos="5580"/>
        </w:tabs>
        <w:jc w:val="both"/>
      </w:pPr>
      <w:r w:rsidRPr="000938CB">
        <w:t>ktorej zanikla náhradná osobná starostlivosť, pestúnska starostlivosť alebo osobná starostlivosť poručníka podľa osobitného predpisu, alebo</w:t>
      </w:r>
    </w:p>
    <w:p w14:paraId="1C7150C2" w14:textId="77777777" w:rsidR="000938CB" w:rsidRDefault="000938CB" w:rsidP="00BF697D">
      <w:pPr>
        <w:pStyle w:val="Odsekzoznamu"/>
        <w:numPr>
          <w:ilvl w:val="1"/>
          <w:numId w:val="23"/>
        </w:numPr>
        <w:tabs>
          <w:tab w:val="left" w:pos="5580"/>
        </w:tabs>
        <w:jc w:val="both"/>
      </w:pPr>
      <w:r w:rsidRPr="000938CB">
        <w:t>ktorá bola zverená do starostlivosti inej fyzickej osoby ako rodiča na základe neodkladného opatrenia a pred dovŕšením jej plnoletosti bol podaný návrh na zverenie tejto osoby do náhradnej osobnej starostlivosti, pestúnskej starostlivosti alebo na ustanovenie poručníka tejto oso</w:t>
      </w:r>
      <w:r>
        <w:t>be podľa osobitného predpisu,</w:t>
      </w:r>
    </w:p>
    <w:p w14:paraId="18064057" w14:textId="77777777" w:rsidR="000938CB" w:rsidRDefault="000938CB" w:rsidP="00BF697D">
      <w:pPr>
        <w:pStyle w:val="Odsekzoznamu"/>
        <w:numPr>
          <w:ilvl w:val="0"/>
          <w:numId w:val="23"/>
        </w:numPr>
        <w:tabs>
          <w:tab w:val="left" w:pos="5580"/>
        </w:tabs>
        <w:jc w:val="both"/>
      </w:pPr>
      <w:r w:rsidRPr="000938CB">
        <w:t>osoba, ktorej sa poskytuje bytová náhrada za byt vyda</w:t>
      </w:r>
      <w:r>
        <w:t>ný podľa osobitného predpisu,</w:t>
      </w:r>
    </w:p>
    <w:p w14:paraId="1D4BDD7A" w14:textId="484B8A9A" w:rsidR="000938CB" w:rsidRDefault="000938CB" w:rsidP="00BF697D">
      <w:pPr>
        <w:pStyle w:val="Odsekzoznamu"/>
        <w:numPr>
          <w:ilvl w:val="0"/>
          <w:numId w:val="23"/>
        </w:numPr>
        <w:tabs>
          <w:tab w:val="left" w:pos="5580"/>
        </w:tabs>
        <w:jc w:val="both"/>
      </w:pPr>
      <w:r w:rsidRPr="000938CB">
        <w:t>osoba, ktorej sa poskytuje bývanie z dôvodov hodných osobitného zreteľa.</w:t>
      </w:r>
    </w:p>
    <w:p w14:paraId="151106E9" w14:textId="609F6410" w:rsidR="007E434B" w:rsidRDefault="009906FE" w:rsidP="00BF697D">
      <w:pPr>
        <w:tabs>
          <w:tab w:val="left" w:pos="5580"/>
        </w:tabs>
        <w:jc w:val="both"/>
      </w:pPr>
      <w:r>
        <w:t>Pre účely tejto výzvy sa §22 ods.</w:t>
      </w:r>
      <w:r w:rsidR="00970EA3">
        <w:t xml:space="preserve"> (3)</w:t>
      </w:r>
      <w:r>
        <w:t xml:space="preserve"> </w:t>
      </w:r>
      <w:r w:rsidR="00970EA3">
        <w:t xml:space="preserve">písm. e) zákona č. 443/2010 Z. z. </w:t>
      </w:r>
      <w:r>
        <w:t>neuplatňuje.</w:t>
      </w:r>
    </w:p>
    <w:p w14:paraId="5DCE9BBE" w14:textId="77777777" w:rsidR="00BB777A" w:rsidRPr="000938CB" w:rsidRDefault="00BB777A" w:rsidP="00BF697D">
      <w:pPr>
        <w:tabs>
          <w:tab w:val="left" w:pos="5580"/>
        </w:tabs>
        <w:jc w:val="both"/>
      </w:pPr>
    </w:p>
    <w:p w14:paraId="175D8AB8" w14:textId="5CC83D59" w:rsidR="000938CB" w:rsidRPr="00BF697D" w:rsidRDefault="000938CB" w:rsidP="00BF697D">
      <w:pPr>
        <w:pStyle w:val="Odsekzoznamu"/>
        <w:numPr>
          <w:ilvl w:val="0"/>
          <w:numId w:val="12"/>
        </w:numPr>
        <w:tabs>
          <w:tab w:val="left" w:pos="709"/>
        </w:tabs>
        <w:spacing w:before="240"/>
        <w:jc w:val="both"/>
        <w:rPr>
          <w:rFonts w:eastAsiaTheme="majorEastAsia" w:cstheme="minorHAnsi"/>
          <w:color w:val="2E74B5" w:themeColor="accent1" w:themeShade="BF"/>
          <w:sz w:val="32"/>
          <w:szCs w:val="32"/>
        </w:rPr>
      </w:pPr>
      <w:r w:rsidRPr="00BF697D">
        <w:rPr>
          <w:rFonts w:eastAsiaTheme="majorEastAsia" w:cstheme="minorHAnsi"/>
          <w:color w:val="2E74B5" w:themeColor="accent1" w:themeShade="BF"/>
          <w:sz w:val="32"/>
          <w:szCs w:val="32"/>
        </w:rPr>
        <w:t>Vzorový prepočet výšky maximálnej sumy čistého príjmu</w:t>
      </w:r>
    </w:p>
    <w:p w14:paraId="63F6CEA1" w14:textId="77777777" w:rsidR="000938CB" w:rsidRPr="007E434B" w:rsidRDefault="000938CB" w:rsidP="00BF697D">
      <w:pPr>
        <w:jc w:val="both"/>
        <w:rPr>
          <w:rFonts w:cstheme="minorHAnsi"/>
          <w:szCs w:val="24"/>
        </w:rPr>
      </w:pPr>
      <w:r w:rsidRPr="007E434B">
        <w:rPr>
          <w:rFonts w:cstheme="minorHAnsi"/>
          <w:b/>
          <w:szCs w:val="24"/>
        </w:rPr>
        <w:t>Mesačný príjem</w:t>
      </w:r>
      <w:r w:rsidRPr="007E434B">
        <w:rPr>
          <w:rFonts w:cstheme="minorHAnsi"/>
          <w:szCs w:val="24"/>
        </w:rPr>
        <w:t xml:space="preserve"> oprávnenej fyzickej osoby a ostatných osôb žijúcich v byte sa vypočíta z príjmu za kalendárny rok predchádzajúci roku, v ktorom vznikol nájom bytu, ako podiel tohto príjmu a príslušného počtu mesiacov, počas ktorých sa príjem poberal.</w:t>
      </w:r>
    </w:p>
    <w:p w14:paraId="229BD424" w14:textId="6CD9CE6E" w:rsidR="007E434B" w:rsidRPr="007E434B" w:rsidRDefault="000938CB" w:rsidP="00BF697D">
      <w:pPr>
        <w:spacing w:after="0"/>
        <w:jc w:val="both"/>
        <w:rPr>
          <w:rFonts w:cstheme="minorHAnsi"/>
          <w:b/>
          <w:szCs w:val="24"/>
        </w:rPr>
      </w:pPr>
      <w:r w:rsidRPr="007E434B">
        <w:rPr>
          <w:rFonts w:cstheme="minorHAnsi"/>
          <w:b/>
          <w:szCs w:val="24"/>
        </w:rPr>
        <w:t>Vý</w:t>
      </w:r>
      <w:r w:rsidR="007E434B" w:rsidRPr="007E434B">
        <w:rPr>
          <w:rFonts w:cstheme="minorHAnsi"/>
          <w:b/>
          <w:szCs w:val="24"/>
        </w:rPr>
        <w:t>ška životného minima (ŽM) od 1.7.2024</w:t>
      </w:r>
      <w:r w:rsidRPr="007E434B">
        <w:rPr>
          <w:rFonts w:cstheme="minorHAnsi"/>
          <w:b/>
          <w:szCs w:val="24"/>
        </w:rPr>
        <w:t xml:space="preserve"> do 30.6.202</w:t>
      </w:r>
      <w:r w:rsidR="007E434B" w:rsidRPr="007E434B">
        <w:rPr>
          <w:rFonts w:cstheme="minorHAnsi"/>
          <w:b/>
          <w:szCs w:val="24"/>
        </w:rPr>
        <w:t>5:</w:t>
      </w:r>
    </w:p>
    <w:p w14:paraId="5A149197" w14:textId="75D21FD9" w:rsidR="000938CB" w:rsidRPr="007E434B" w:rsidRDefault="000938CB" w:rsidP="00BF697D">
      <w:pPr>
        <w:pStyle w:val="Odsekzoznamu"/>
        <w:numPr>
          <w:ilvl w:val="0"/>
          <w:numId w:val="6"/>
        </w:numPr>
        <w:spacing w:after="0" w:line="256" w:lineRule="auto"/>
        <w:jc w:val="both"/>
        <w:rPr>
          <w:rFonts w:cstheme="minorHAnsi"/>
          <w:szCs w:val="24"/>
        </w:rPr>
      </w:pPr>
      <w:r w:rsidRPr="007E434B">
        <w:rPr>
          <w:rFonts w:cstheme="minorHAnsi"/>
          <w:b/>
          <w:szCs w:val="24"/>
        </w:rPr>
        <w:t>2</w:t>
      </w:r>
      <w:r w:rsidR="007E434B" w:rsidRPr="007E434B">
        <w:rPr>
          <w:rFonts w:cstheme="minorHAnsi"/>
          <w:b/>
          <w:szCs w:val="24"/>
        </w:rPr>
        <w:t>73</w:t>
      </w:r>
      <w:r w:rsidRPr="007E434B">
        <w:rPr>
          <w:rFonts w:cstheme="minorHAnsi"/>
          <w:b/>
          <w:szCs w:val="24"/>
        </w:rPr>
        <w:t>,</w:t>
      </w:r>
      <w:r w:rsidR="007E434B" w:rsidRPr="007E434B">
        <w:rPr>
          <w:rFonts w:cstheme="minorHAnsi"/>
          <w:b/>
          <w:szCs w:val="24"/>
        </w:rPr>
        <w:t>99</w:t>
      </w:r>
      <w:r w:rsidRPr="007E434B">
        <w:rPr>
          <w:rFonts w:cstheme="minorHAnsi"/>
          <w:szCs w:val="24"/>
        </w:rPr>
        <w:t xml:space="preserve"> eur mesačne, ak ide o jednu plnoletú fyzickú osobu,</w:t>
      </w:r>
    </w:p>
    <w:p w14:paraId="62223B40" w14:textId="2B1848E7" w:rsidR="000938CB" w:rsidRPr="007E434B" w:rsidRDefault="000938CB" w:rsidP="00BF697D">
      <w:pPr>
        <w:pStyle w:val="Odsekzoznamu"/>
        <w:numPr>
          <w:ilvl w:val="0"/>
          <w:numId w:val="6"/>
        </w:numPr>
        <w:spacing w:after="0" w:line="256" w:lineRule="auto"/>
        <w:jc w:val="both"/>
        <w:rPr>
          <w:rFonts w:cstheme="minorHAnsi"/>
          <w:szCs w:val="24"/>
        </w:rPr>
      </w:pPr>
      <w:r w:rsidRPr="007E434B">
        <w:rPr>
          <w:rFonts w:cstheme="minorHAnsi"/>
          <w:b/>
          <w:szCs w:val="24"/>
        </w:rPr>
        <w:t>1</w:t>
      </w:r>
      <w:r w:rsidR="007E434B" w:rsidRPr="007E434B">
        <w:rPr>
          <w:rFonts w:cstheme="minorHAnsi"/>
          <w:b/>
          <w:szCs w:val="24"/>
        </w:rPr>
        <w:t>91</w:t>
      </w:r>
      <w:r w:rsidRPr="007E434B">
        <w:rPr>
          <w:rFonts w:cstheme="minorHAnsi"/>
          <w:b/>
          <w:szCs w:val="24"/>
        </w:rPr>
        <w:t>,</w:t>
      </w:r>
      <w:r w:rsidR="007E434B" w:rsidRPr="007E434B">
        <w:rPr>
          <w:rFonts w:cstheme="minorHAnsi"/>
          <w:b/>
          <w:szCs w:val="24"/>
        </w:rPr>
        <w:t>14</w:t>
      </w:r>
      <w:r w:rsidRPr="007E434B">
        <w:rPr>
          <w:rFonts w:cstheme="minorHAnsi"/>
          <w:szCs w:val="24"/>
        </w:rPr>
        <w:t xml:space="preserve"> eur mesačne, ak ide o ďalšiu spoločne posudzovanú plnoletú fyzickú osobu,</w:t>
      </w:r>
    </w:p>
    <w:p w14:paraId="5647E795" w14:textId="13A9AD33" w:rsidR="000938CB" w:rsidRPr="007E434B" w:rsidRDefault="007E434B" w:rsidP="00BF697D">
      <w:pPr>
        <w:pStyle w:val="Odsekzoznamu"/>
        <w:numPr>
          <w:ilvl w:val="0"/>
          <w:numId w:val="6"/>
        </w:numPr>
        <w:spacing w:after="0" w:line="256" w:lineRule="auto"/>
        <w:jc w:val="both"/>
        <w:rPr>
          <w:rFonts w:cstheme="minorHAnsi"/>
          <w:szCs w:val="24"/>
        </w:rPr>
      </w:pPr>
      <w:r w:rsidRPr="007E434B">
        <w:rPr>
          <w:rFonts w:cstheme="minorHAnsi"/>
          <w:b/>
          <w:szCs w:val="24"/>
        </w:rPr>
        <w:t>125,11</w:t>
      </w:r>
      <w:r w:rsidR="000938CB" w:rsidRPr="007E434B">
        <w:rPr>
          <w:rFonts w:cstheme="minorHAnsi"/>
          <w:szCs w:val="24"/>
        </w:rPr>
        <w:t xml:space="preserve"> eur mesačne, ak ide o zaopatrené neplnoleté dieťa alebo nezaopatrené dieťa.</w:t>
      </w:r>
    </w:p>
    <w:p w14:paraId="279A9C51" w14:textId="77777777" w:rsidR="007E434B" w:rsidRPr="007E434B" w:rsidRDefault="007E434B" w:rsidP="00BF697D">
      <w:pPr>
        <w:spacing w:after="0"/>
        <w:jc w:val="both"/>
        <w:rPr>
          <w:rFonts w:cstheme="minorHAnsi"/>
          <w:szCs w:val="24"/>
        </w:rPr>
      </w:pPr>
    </w:p>
    <w:p w14:paraId="1F8C1719" w14:textId="0E79E861" w:rsidR="000938CB" w:rsidRDefault="000938CB" w:rsidP="00BF697D">
      <w:pPr>
        <w:spacing w:after="0"/>
        <w:jc w:val="both"/>
        <w:rPr>
          <w:rFonts w:cstheme="minorHAnsi"/>
          <w:szCs w:val="24"/>
        </w:rPr>
      </w:pPr>
      <w:r w:rsidRPr="007E434B">
        <w:rPr>
          <w:rFonts w:cstheme="minorHAnsi"/>
          <w:szCs w:val="24"/>
        </w:rPr>
        <w:t xml:space="preserve">Príklady výpočtu </w:t>
      </w:r>
      <w:r w:rsidRPr="007E434B">
        <w:rPr>
          <w:rFonts w:cstheme="minorHAnsi"/>
          <w:b/>
          <w:szCs w:val="24"/>
        </w:rPr>
        <w:t>maximálnej sumy čistého mesačného príjmu</w:t>
      </w:r>
      <w:r w:rsidRPr="007E434B">
        <w:rPr>
          <w:rFonts w:cstheme="minorHAnsi"/>
          <w:szCs w:val="24"/>
        </w:rPr>
        <w:t xml:space="preserve"> potrebného k splneniu podmienky oprávnenosti na poskytnutie sociálneho bývania:</w:t>
      </w:r>
    </w:p>
    <w:tbl>
      <w:tblPr>
        <w:tblStyle w:val="Mriekatabuky"/>
        <w:tblW w:w="0" w:type="auto"/>
        <w:tblLook w:val="04A0" w:firstRow="1" w:lastRow="0" w:firstColumn="1" w:lastColumn="0" w:noHBand="0" w:noVBand="1"/>
      </w:tblPr>
      <w:tblGrid>
        <w:gridCol w:w="3699"/>
        <w:gridCol w:w="1536"/>
        <w:gridCol w:w="1269"/>
        <w:gridCol w:w="1269"/>
        <w:gridCol w:w="1269"/>
      </w:tblGrid>
      <w:tr w:rsidR="007420EF" w:rsidRPr="007420EF" w14:paraId="26060AA0" w14:textId="77777777" w:rsidTr="007420EF">
        <w:trPr>
          <w:trHeight w:val="300"/>
        </w:trPr>
        <w:tc>
          <w:tcPr>
            <w:tcW w:w="4660" w:type="dxa"/>
            <w:vMerge w:val="restart"/>
            <w:tcBorders>
              <w:top w:val="single" w:sz="12" w:space="0" w:color="auto"/>
              <w:left w:val="single" w:sz="12" w:space="0" w:color="auto"/>
            </w:tcBorders>
            <w:shd w:val="clear" w:color="auto" w:fill="FFF2CC" w:themeFill="accent4" w:themeFillTint="33"/>
            <w:vAlign w:val="center"/>
            <w:hideMark/>
          </w:tcPr>
          <w:p w14:paraId="032A0F85" w14:textId="77777777" w:rsidR="007420EF" w:rsidRPr="007420EF" w:rsidRDefault="007420EF" w:rsidP="00BF697D">
            <w:pPr>
              <w:jc w:val="both"/>
              <w:rPr>
                <w:rFonts w:cstheme="minorHAnsi"/>
                <w:b/>
                <w:bCs/>
              </w:rPr>
            </w:pPr>
            <w:r w:rsidRPr="007420EF">
              <w:rPr>
                <w:rFonts w:cstheme="minorHAnsi"/>
                <w:b/>
                <w:bCs/>
              </w:rPr>
              <w:t>Počet osôb žijúcich v byte</w:t>
            </w:r>
          </w:p>
        </w:tc>
        <w:tc>
          <w:tcPr>
            <w:tcW w:w="1900" w:type="dxa"/>
            <w:vMerge w:val="restart"/>
            <w:tcBorders>
              <w:top w:val="single" w:sz="12" w:space="0" w:color="auto"/>
            </w:tcBorders>
            <w:shd w:val="clear" w:color="auto" w:fill="FFF2CC" w:themeFill="accent4" w:themeFillTint="33"/>
            <w:vAlign w:val="center"/>
            <w:hideMark/>
          </w:tcPr>
          <w:p w14:paraId="7FA215EA" w14:textId="77777777" w:rsidR="007420EF" w:rsidRPr="007420EF" w:rsidRDefault="007420EF" w:rsidP="00BF697D">
            <w:pPr>
              <w:jc w:val="both"/>
              <w:rPr>
                <w:rFonts w:cstheme="minorHAnsi"/>
                <w:b/>
                <w:bCs/>
              </w:rPr>
            </w:pPr>
            <w:r w:rsidRPr="007420EF">
              <w:rPr>
                <w:rFonts w:cstheme="minorHAnsi"/>
                <w:b/>
                <w:bCs/>
              </w:rPr>
              <w:t>Výška životného minima (Eur/mesiac)</w:t>
            </w:r>
          </w:p>
        </w:tc>
        <w:tc>
          <w:tcPr>
            <w:tcW w:w="4680" w:type="dxa"/>
            <w:gridSpan w:val="3"/>
            <w:tcBorders>
              <w:top w:val="single" w:sz="12" w:space="0" w:color="auto"/>
              <w:right w:val="single" w:sz="12" w:space="0" w:color="auto"/>
            </w:tcBorders>
            <w:shd w:val="clear" w:color="auto" w:fill="FFF2CC" w:themeFill="accent4" w:themeFillTint="33"/>
            <w:noWrap/>
            <w:vAlign w:val="center"/>
            <w:hideMark/>
          </w:tcPr>
          <w:p w14:paraId="082F9F7C" w14:textId="77777777" w:rsidR="007420EF" w:rsidRPr="007420EF" w:rsidRDefault="007420EF" w:rsidP="00BF697D">
            <w:pPr>
              <w:jc w:val="both"/>
              <w:rPr>
                <w:rFonts w:cstheme="minorHAnsi"/>
                <w:b/>
                <w:bCs/>
              </w:rPr>
            </w:pPr>
            <w:r w:rsidRPr="007420EF">
              <w:rPr>
                <w:rFonts w:cstheme="minorHAnsi"/>
                <w:b/>
                <w:bCs/>
              </w:rPr>
              <w:t>Limitná výška čistého mesačného príjmu (Eur/mesiac)</w:t>
            </w:r>
          </w:p>
        </w:tc>
      </w:tr>
      <w:tr w:rsidR="007420EF" w:rsidRPr="007420EF" w14:paraId="4B6EE659" w14:textId="77777777" w:rsidTr="007420EF">
        <w:trPr>
          <w:trHeight w:val="315"/>
        </w:trPr>
        <w:tc>
          <w:tcPr>
            <w:tcW w:w="4660" w:type="dxa"/>
            <w:vMerge/>
            <w:tcBorders>
              <w:left w:val="single" w:sz="12" w:space="0" w:color="auto"/>
              <w:bottom w:val="single" w:sz="12" w:space="0" w:color="auto"/>
            </w:tcBorders>
            <w:shd w:val="clear" w:color="auto" w:fill="FFF2CC" w:themeFill="accent4" w:themeFillTint="33"/>
            <w:vAlign w:val="center"/>
            <w:hideMark/>
          </w:tcPr>
          <w:p w14:paraId="50D266E7" w14:textId="77777777" w:rsidR="007420EF" w:rsidRPr="007420EF" w:rsidRDefault="007420EF" w:rsidP="00BF697D">
            <w:pPr>
              <w:jc w:val="both"/>
              <w:rPr>
                <w:rFonts w:cstheme="minorHAnsi"/>
                <w:b/>
                <w:bCs/>
              </w:rPr>
            </w:pPr>
          </w:p>
        </w:tc>
        <w:tc>
          <w:tcPr>
            <w:tcW w:w="1900" w:type="dxa"/>
            <w:vMerge/>
            <w:tcBorders>
              <w:bottom w:val="single" w:sz="12" w:space="0" w:color="auto"/>
            </w:tcBorders>
            <w:shd w:val="clear" w:color="auto" w:fill="FFF2CC" w:themeFill="accent4" w:themeFillTint="33"/>
            <w:vAlign w:val="center"/>
            <w:hideMark/>
          </w:tcPr>
          <w:p w14:paraId="32C29066" w14:textId="77777777" w:rsidR="007420EF" w:rsidRPr="007420EF" w:rsidRDefault="007420EF" w:rsidP="00BF697D">
            <w:pPr>
              <w:jc w:val="both"/>
              <w:rPr>
                <w:rFonts w:cstheme="minorHAnsi"/>
                <w:b/>
                <w:bCs/>
              </w:rPr>
            </w:pPr>
          </w:p>
        </w:tc>
        <w:tc>
          <w:tcPr>
            <w:tcW w:w="1560" w:type="dxa"/>
            <w:tcBorders>
              <w:bottom w:val="single" w:sz="12" w:space="0" w:color="auto"/>
            </w:tcBorders>
            <w:shd w:val="clear" w:color="auto" w:fill="FFF2CC" w:themeFill="accent4" w:themeFillTint="33"/>
            <w:noWrap/>
            <w:vAlign w:val="center"/>
            <w:hideMark/>
          </w:tcPr>
          <w:p w14:paraId="6D2A62C8" w14:textId="77777777" w:rsidR="007420EF" w:rsidRPr="007420EF" w:rsidRDefault="007420EF" w:rsidP="00BF697D">
            <w:pPr>
              <w:jc w:val="both"/>
              <w:rPr>
                <w:rFonts w:cstheme="minorHAnsi"/>
                <w:b/>
                <w:bCs/>
              </w:rPr>
            </w:pPr>
            <w:r w:rsidRPr="007420EF">
              <w:rPr>
                <w:rFonts w:cstheme="minorHAnsi"/>
                <w:b/>
                <w:bCs/>
              </w:rPr>
              <w:t>3 násobok ŽM</w:t>
            </w:r>
          </w:p>
        </w:tc>
        <w:tc>
          <w:tcPr>
            <w:tcW w:w="1560" w:type="dxa"/>
            <w:tcBorders>
              <w:bottom w:val="single" w:sz="12" w:space="0" w:color="auto"/>
            </w:tcBorders>
            <w:shd w:val="clear" w:color="auto" w:fill="FFF2CC" w:themeFill="accent4" w:themeFillTint="33"/>
            <w:noWrap/>
            <w:vAlign w:val="center"/>
            <w:hideMark/>
          </w:tcPr>
          <w:p w14:paraId="0E1C88AC" w14:textId="77777777" w:rsidR="007420EF" w:rsidRPr="007420EF" w:rsidRDefault="007420EF" w:rsidP="00BF697D">
            <w:pPr>
              <w:jc w:val="both"/>
              <w:rPr>
                <w:rFonts w:cstheme="minorHAnsi"/>
                <w:b/>
                <w:bCs/>
              </w:rPr>
            </w:pPr>
            <w:r w:rsidRPr="007420EF">
              <w:rPr>
                <w:rFonts w:cstheme="minorHAnsi"/>
                <w:b/>
                <w:bCs/>
              </w:rPr>
              <w:t>4 násobok ŽM</w:t>
            </w:r>
          </w:p>
        </w:tc>
        <w:tc>
          <w:tcPr>
            <w:tcW w:w="1560" w:type="dxa"/>
            <w:tcBorders>
              <w:bottom w:val="single" w:sz="12" w:space="0" w:color="auto"/>
              <w:right w:val="single" w:sz="12" w:space="0" w:color="auto"/>
            </w:tcBorders>
            <w:shd w:val="clear" w:color="auto" w:fill="FFF2CC" w:themeFill="accent4" w:themeFillTint="33"/>
            <w:noWrap/>
            <w:vAlign w:val="center"/>
            <w:hideMark/>
          </w:tcPr>
          <w:p w14:paraId="77B3E541" w14:textId="77777777" w:rsidR="007420EF" w:rsidRPr="007420EF" w:rsidRDefault="007420EF" w:rsidP="00BF697D">
            <w:pPr>
              <w:jc w:val="both"/>
              <w:rPr>
                <w:rFonts w:cstheme="minorHAnsi"/>
                <w:b/>
                <w:bCs/>
              </w:rPr>
            </w:pPr>
            <w:r w:rsidRPr="007420EF">
              <w:rPr>
                <w:rFonts w:cstheme="minorHAnsi"/>
                <w:b/>
                <w:bCs/>
              </w:rPr>
              <w:t>5 násobok ŽM</w:t>
            </w:r>
          </w:p>
        </w:tc>
      </w:tr>
      <w:tr w:rsidR="007420EF" w:rsidRPr="007420EF" w14:paraId="0D837F6D" w14:textId="77777777" w:rsidTr="007420EF">
        <w:trPr>
          <w:trHeight w:val="300"/>
        </w:trPr>
        <w:tc>
          <w:tcPr>
            <w:tcW w:w="4660" w:type="dxa"/>
            <w:tcBorders>
              <w:top w:val="single" w:sz="12" w:space="0" w:color="auto"/>
              <w:left w:val="single" w:sz="12" w:space="0" w:color="auto"/>
            </w:tcBorders>
            <w:noWrap/>
            <w:hideMark/>
          </w:tcPr>
          <w:p w14:paraId="7887C85C" w14:textId="77777777" w:rsidR="007420EF" w:rsidRPr="007420EF" w:rsidRDefault="007420EF" w:rsidP="00BF697D">
            <w:pPr>
              <w:jc w:val="both"/>
              <w:rPr>
                <w:rFonts w:cstheme="minorHAnsi"/>
              </w:rPr>
            </w:pPr>
            <w:r w:rsidRPr="007420EF">
              <w:rPr>
                <w:rFonts w:cstheme="minorHAnsi"/>
              </w:rPr>
              <w:t>Jednočlenná (Plnoletá FO)</w:t>
            </w:r>
          </w:p>
        </w:tc>
        <w:tc>
          <w:tcPr>
            <w:tcW w:w="1900" w:type="dxa"/>
            <w:tcBorders>
              <w:top w:val="single" w:sz="12" w:space="0" w:color="auto"/>
            </w:tcBorders>
            <w:noWrap/>
            <w:vAlign w:val="center"/>
            <w:hideMark/>
          </w:tcPr>
          <w:p w14:paraId="0C1E5E12" w14:textId="77777777" w:rsidR="007420EF" w:rsidRPr="007420EF" w:rsidRDefault="007420EF" w:rsidP="00BF697D">
            <w:pPr>
              <w:jc w:val="both"/>
              <w:rPr>
                <w:rFonts w:cstheme="minorHAnsi"/>
              </w:rPr>
            </w:pPr>
            <w:r w:rsidRPr="007420EF">
              <w:rPr>
                <w:rFonts w:cstheme="minorHAnsi"/>
              </w:rPr>
              <w:t>273,99</w:t>
            </w:r>
          </w:p>
        </w:tc>
        <w:tc>
          <w:tcPr>
            <w:tcW w:w="1560" w:type="dxa"/>
            <w:tcBorders>
              <w:top w:val="single" w:sz="12" w:space="0" w:color="auto"/>
            </w:tcBorders>
            <w:noWrap/>
            <w:vAlign w:val="center"/>
            <w:hideMark/>
          </w:tcPr>
          <w:p w14:paraId="040B9AB4" w14:textId="77777777" w:rsidR="007420EF" w:rsidRPr="007420EF" w:rsidRDefault="007420EF" w:rsidP="00BF697D">
            <w:pPr>
              <w:jc w:val="both"/>
              <w:rPr>
                <w:rFonts w:cstheme="minorHAnsi"/>
              </w:rPr>
            </w:pPr>
            <w:r w:rsidRPr="007420EF">
              <w:rPr>
                <w:rFonts w:cstheme="minorHAnsi"/>
              </w:rPr>
              <w:t>821,97</w:t>
            </w:r>
          </w:p>
        </w:tc>
        <w:tc>
          <w:tcPr>
            <w:tcW w:w="1560" w:type="dxa"/>
            <w:tcBorders>
              <w:top w:val="single" w:sz="12" w:space="0" w:color="auto"/>
            </w:tcBorders>
            <w:noWrap/>
            <w:vAlign w:val="center"/>
            <w:hideMark/>
          </w:tcPr>
          <w:p w14:paraId="4C3AADC7" w14:textId="77777777" w:rsidR="007420EF" w:rsidRPr="007420EF" w:rsidRDefault="007420EF" w:rsidP="00BF697D">
            <w:pPr>
              <w:jc w:val="both"/>
              <w:rPr>
                <w:rFonts w:cstheme="minorHAnsi"/>
              </w:rPr>
            </w:pPr>
            <w:r w:rsidRPr="007420EF">
              <w:rPr>
                <w:rFonts w:cstheme="minorHAnsi"/>
              </w:rPr>
              <w:t>1 095,96</w:t>
            </w:r>
          </w:p>
        </w:tc>
        <w:tc>
          <w:tcPr>
            <w:tcW w:w="1560" w:type="dxa"/>
            <w:tcBorders>
              <w:top w:val="single" w:sz="12" w:space="0" w:color="auto"/>
              <w:right w:val="single" w:sz="12" w:space="0" w:color="auto"/>
            </w:tcBorders>
            <w:noWrap/>
            <w:vAlign w:val="center"/>
            <w:hideMark/>
          </w:tcPr>
          <w:p w14:paraId="02298297" w14:textId="77777777" w:rsidR="007420EF" w:rsidRPr="007420EF" w:rsidRDefault="007420EF" w:rsidP="00BF697D">
            <w:pPr>
              <w:jc w:val="both"/>
              <w:rPr>
                <w:rFonts w:cstheme="minorHAnsi"/>
              </w:rPr>
            </w:pPr>
            <w:r w:rsidRPr="007420EF">
              <w:rPr>
                <w:rFonts w:cstheme="minorHAnsi"/>
              </w:rPr>
              <w:t>1 369,95</w:t>
            </w:r>
          </w:p>
        </w:tc>
      </w:tr>
      <w:tr w:rsidR="007420EF" w:rsidRPr="007420EF" w14:paraId="553AE617" w14:textId="77777777" w:rsidTr="007420EF">
        <w:trPr>
          <w:trHeight w:val="300"/>
        </w:trPr>
        <w:tc>
          <w:tcPr>
            <w:tcW w:w="4660" w:type="dxa"/>
            <w:tcBorders>
              <w:left w:val="single" w:sz="12" w:space="0" w:color="auto"/>
            </w:tcBorders>
            <w:shd w:val="clear" w:color="auto" w:fill="F2F2F2" w:themeFill="background1" w:themeFillShade="F2"/>
            <w:noWrap/>
            <w:hideMark/>
          </w:tcPr>
          <w:p w14:paraId="08BC1E4B" w14:textId="77777777" w:rsidR="007420EF" w:rsidRPr="007420EF" w:rsidRDefault="007420EF" w:rsidP="00BF697D">
            <w:pPr>
              <w:jc w:val="both"/>
              <w:rPr>
                <w:rFonts w:cstheme="minorHAnsi"/>
              </w:rPr>
            </w:pPr>
            <w:r w:rsidRPr="007420EF">
              <w:rPr>
                <w:rFonts w:cstheme="minorHAnsi"/>
              </w:rPr>
              <w:t>Dvojčlenná (Plnoletá FO + ďalšia plnoletá FO</w:t>
            </w:r>
          </w:p>
        </w:tc>
        <w:tc>
          <w:tcPr>
            <w:tcW w:w="1900" w:type="dxa"/>
            <w:shd w:val="clear" w:color="auto" w:fill="F2F2F2" w:themeFill="background1" w:themeFillShade="F2"/>
            <w:noWrap/>
            <w:vAlign w:val="center"/>
            <w:hideMark/>
          </w:tcPr>
          <w:p w14:paraId="33E2D560" w14:textId="77777777" w:rsidR="007420EF" w:rsidRPr="007420EF" w:rsidRDefault="007420EF" w:rsidP="00BF697D">
            <w:pPr>
              <w:jc w:val="both"/>
              <w:rPr>
                <w:rFonts w:cstheme="minorHAnsi"/>
              </w:rPr>
            </w:pPr>
            <w:r w:rsidRPr="007420EF">
              <w:rPr>
                <w:rFonts w:cstheme="minorHAnsi"/>
              </w:rPr>
              <w:t>465,13</w:t>
            </w:r>
          </w:p>
        </w:tc>
        <w:tc>
          <w:tcPr>
            <w:tcW w:w="1560" w:type="dxa"/>
            <w:shd w:val="clear" w:color="auto" w:fill="F2F2F2" w:themeFill="background1" w:themeFillShade="F2"/>
            <w:noWrap/>
            <w:vAlign w:val="center"/>
            <w:hideMark/>
          </w:tcPr>
          <w:p w14:paraId="20208B36" w14:textId="77777777" w:rsidR="007420EF" w:rsidRPr="007420EF" w:rsidRDefault="007420EF" w:rsidP="00BF697D">
            <w:pPr>
              <w:jc w:val="both"/>
              <w:rPr>
                <w:rFonts w:cstheme="minorHAnsi"/>
              </w:rPr>
            </w:pPr>
            <w:r w:rsidRPr="007420EF">
              <w:rPr>
                <w:rFonts w:cstheme="minorHAnsi"/>
              </w:rPr>
              <w:t>1 395,39</w:t>
            </w:r>
          </w:p>
        </w:tc>
        <w:tc>
          <w:tcPr>
            <w:tcW w:w="1560" w:type="dxa"/>
            <w:shd w:val="clear" w:color="auto" w:fill="F2F2F2" w:themeFill="background1" w:themeFillShade="F2"/>
            <w:noWrap/>
            <w:vAlign w:val="center"/>
            <w:hideMark/>
          </w:tcPr>
          <w:p w14:paraId="1B894719" w14:textId="77777777" w:rsidR="007420EF" w:rsidRPr="007420EF" w:rsidRDefault="007420EF" w:rsidP="00BF697D">
            <w:pPr>
              <w:jc w:val="both"/>
              <w:rPr>
                <w:rFonts w:cstheme="minorHAnsi"/>
              </w:rPr>
            </w:pPr>
            <w:r w:rsidRPr="007420EF">
              <w:rPr>
                <w:rFonts w:cstheme="minorHAnsi"/>
              </w:rPr>
              <w:t>1 860,52</w:t>
            </w:r>
          </w:p>
        </w:tc>
        <w:tc>
          <w:tcPr>
            <w:tcW w:w="1560" w:type="dxa"/>
            <w:tcBorders>
              <w:right w:val="single" w:sz="12" w:space="0" w:color="auto"/>
            </w:tcBorders>
            <w:shd w:val="clear" w:color="auto" w:fill="F2F2F2" w:themeFill="background1" w:themeFillShade="F2"/>
            <w:noWrap/>
            <w:vAlign w:val="center"/>
            <w:hideMark/>
          </w:tcPr>
          <w:p w14:paraId="7C79518F" w14:textId="77777777" w:rsidR="007420EF" w:rsidRPr="007420EF" w:rsidRDefault="007420EF" w:rsidP="00BF697D">
            <w:pPr>
              <w:jc w:val="both"/>
              <w:rPr>
                <w:rFonts w:cstheme="minorHAnsi"/>
              </w:rPr>
            </w:pPr>
            <w:r w:rsidRPr="007420EF">
              <w:rPr>
                <w:rFonts w:cstheme="minorHAnsi"/>
              </w:rPr>
              <w:t>2 325,65</w:t>
            </w:r>
          </w:p>
        </w:tc>
      </w:tr>
      <w:tr w:rsidR="007420EF" w:rsidRPr="007420EF" w14:paraId="3A20F883" w14:textId="77777777" w:rsidTr="007420EF">
        <w:trPr>
          <w:trHeight w:val="300"/>
        </w:trPr>
        <w:tc>
          <w:tcPr>
            <w:tcW w:w="4660" w:type="dxa"/>
            <w:tcBorders>
              <w:left w:val="single" w:sz="12" w:space="0" w:color="auto"/>
            </w:tcBorders>
            <w:noWrap/>
            <w:hideMark/>
          </w:tcPr>
          <w:p w14:paraId="4F99E608" w14:textId="77777777" w:rsidR="007420EF" w:rsidRPr="007420EF" w:rsidRDefault="007420EF" w:rsidP="00BF697D">
            <w:pPr>
              <w:jc w:val="both"/>
              <w:rPr>
                <w:rFonts w:cstheme="minorHAnsi"/>
              </w:rPr>
            </w:pPr>
            <w:r w:rsidRPr="007420EF">
              <w:rPr>
                <w:rFonts w:cstheme="minorHAnsi"/>
              </w:rPr>
              <w:t>Dvojčlenná (Plnoletá FO + 1 dieťa)</w:t>
            </w:r>
          </w:p>
        </w:tc>
        <w:tc>
          <w:tcPr>
            <w:tcW w:w="1900" w:type="dxa"/>
            <w:noWrap/>
            <w:vAlign w:val="center"/>
            <w:hideMark/>
          </w:tcPr>
          <w:p w14:paraId="5E1AAD67" w14:textId="77777777" w:rsidR="007420EF" w:rsidRPr="007420EF" w:rsidRDefault="007420EF" w:rsidP="00BF697D">
            <w:pPr>
              <w:jc w:val="both"/>
              <w:rPr>
                <w:rFonts w:cstheme="minorHAnsi"/>
              </w:rPr>
            </w:pPr>
            <w:r w:rsidRPr="007420EF">
              <w:rPr>
                <w:rFonts w:cstheme="minorHAnsi"/>
              </w:rPr>
              <w:t>399,10</w:t>
            </w:r>
          </w:p>
        </w:tc>
        <w:tc>
          <w:tcPr>
            <w:tcW w:w="1560" w:type="dxa"/>
            <w:noWrap/>
            <w:vAlign w:val="center"/>
            <w:hideMark/>
          </w:tcPr>
          <w:p w14:paraId="407B22DB" w14:textId="77777777" w:rsidR="007420EF" w:rsidRPr="007420EF" w:rsidRDefault="007420EF" w:rsidP="00BF697D">
            <w:pPr>
              <w:jc w:val="both"/>
              <w:rPr>
                <w:rFonts w:cstheme="minorHAnsi"/>
              </w:rPr>
            </w:pPr>
            <w:r w:rsidRPr="007420EF">
              <w:rPr>
                <w:rFonts w:cstheme="minorHAnsi"/>
              </w:rPr>
              <w:t>1 197,30</w:t>
            </w:r>
          </w:p>
        </w:tc>
        <w:tc>
          <w:tcPr>
            <w:tcW w:w="1560" w:type="dxa"/>
            <w:noWrap/>
            <w:vAlign w:val="center"/>
            <w:hideMark/>
          </w:tcPr>
          <w:p w14:paraId="4EF50E9D" w14:textId="77777777" w:rsidR="007420EF" w:rsidRPr="007420EF" w:rsidRDefault="007420EF" w:rsidP="00BF697D">
            <w:pPr>
              <w:jc w:val="both"/>
              <w:rPr>
                <w:rFonts w:cstheme="minorHAnsi"/>
              </w:rPr>
            </w:pPr>
            <w:r w:rsidRPr="007420EF">
              <w:rPr>
                <w:rFonts w:cstheme="minorHAnsi"/>
              </w:rPr>
              <w:t>1 596,40</w:t>
            </w:r>
          </w:p>
        </w:tc>
        <w:tc>
          <w:tcPr>
            <w:tcW w:w="1560" w:type="dxa"/>
            <w:tcBorders>
              <w:right w:val="single" w:sz="12" w:space="0" w:color="auto"/>
            </w:tcBorders>
            <w:noWrap/>
            <w:vAlign w:val="center"/>
            <w:hideMark/>
          </w:tcPr>
          <w:p w14:paraId="2A3E7BD2" w14:textId="77777777" w:rsidR="007420EF" w:rsidRPr="007420EF" w:rsidRDefault="007420EF" w:rsidP="00BF697D">
            <w:pPr>
              <w:jc w:val="both"/>
              <w:rPr>
                <w:rFonts w:cstheme="minorHAnsi"/>
              </w:rPr>
            </w:pPr>
            <w:r w:rsidRPr="007420EF">
              <w:rPr>
                <w:rFonts w:cstheme="minorHAnsi"/>
              </w:rPr>
              <w:t>1 995,50</w:t>
            </w:r>
          </w:p>
        </w:tc>
      </w:tr>
      <w:tr w:rsidR="007420EF" w:rsidRPr="007420EF" w14:paraId="41C9A2B5" w14:textId="77777777" w:rsidTr="007420EF">
        <w:trPr>
          <w:trHeight w:val="300"/>
        </w:trPr>
        <w:tc>
          <w:tcPr>
            <w:tcW w:w="4660" w:type="dxa"/>
            <w:tcBorders>
              <w:left w:val="single" w:sz="12" w:space="0" w:color="auto"/>
            </w:tcBorders>
            <w:shd w:val="clear" w:color="auto" w:fill="F2F2F2" w:themeFill="background1" w:themeFillShade="F2"/>
            <w:noWrap/>
            <w:hideMark/>
          </w:tcPr>
          <w:p w14:paraId="1DEA8F89" w14:textId="77777777" w:rsidR="007420EF" w:rsidRPr="007420EF" w:rsidRDefault="007420EF" w:rsidP="00BF697D">
            <w:pPr>
              <w:jc w:val="both"/>
              <w:rPr>
                <w:rFonts w:cstheme="minorHAnsi"/>
              </w:rPr>
            </w:pPr>
            <w:r w:rsidRPr="007420EF">
              <w:rPr>
                <w:rFonts w:cstheme="minorHAnsi"/>
              </w:rPr>
              <w:t>Trojčlenná (Plnoletá FO + ďalšia plnoletá FO + 1 dieťa)</w:t>
            </w:r>
          </w:p>
        </w:tc>
        <w:tc>
          <w:tcPr>
            <w:tcW w:w="1900" w:type="dxa"/>
            <w:shd w:val="clear" w:color="auto" w:fill="F2F2F2" w:themeFill="background1" w:themeFillShade="F2"/>
            <w:noWrap/>
            <w:vAlign w:val="center"/>
            <w:hideMark/>
          </w:tcPr>
          <w:p w14:paraId="4A913B5B" w14:textId="77777777" w:rsidR="007420EF" w:rsidRPr="007420EF" w:rsidRDefault="007420EF" w:rsidP="00BF697D">
            <w:pPr>
              <w:jc w:val="both"/>
              <w:rPr>
                <w:rFonts w:cstheme="minorHAnsi"/>
              </w:rPr>
            </w:pPr>
            <w:r w:rsidRPr="007420EF">
              <w:rPr>
                <w:rFonts w:cstheme="minorHAnsi"/>
              </w:rPr>
              <w:t>590,24</w:t>
            </w:r>
          </w:p>
        </w:tc>
        <w:tc>
          <w:tcPr>
            <w:tcW w:w="1560" w:type="dxa"/>
            <w:shd w:val="clear" w:color="auto" w:fill="F2F2F2" w:themeFill="background1" w:themeFillShade="F2"/>
            <w:noWrap/>
            <w:vAlign w:val="center"/>
            <w:hideMark/>
          </w:tcPr>
          <w:p w14:paraId="409F01ED" w14:textId="77777777" w:rsidR="007420EF" w:rsidRPr="007420EF" w:rsidRDefault="007420EF" w:rsidP="00BF697D">
            <w:pPr>
              <w:jc w:val="both"/>
              <w:rPr>
                <w:rFonts w:cstheme="minorHAnsi"/>
              </w:rPr>
            </w:pPr>
            <w:r w:rsidRPr="007420EF">
              <w:rPr>
                <w:rFonts w:cstheme="minorHAnsi"/>
              </w:rPr>
              <w:t>1 770,72</w:t>
            </w:r>
          </w:p>
        </w:tc>
        <w:tc>
          <w:tcPr>
            <w:tcW w:w="1560" w:type="dxa"/>
            <w:shd w:val="clear" w:color="auto" w:fill="F2F2F2" w:themeFill="background1" w:themeFillShade="F2"/>
            <w:noWrap/>
            <w:vAlign w:val="center"/>
            <w:hideMark/>
          </w:tcPr>
          <w:p w14:paraId="2F19C235" w14:textId="77777777" w:rsidR="007420EF" w:rsidRPr="007420EF" w:rsidRDefault="007420EF" w:rsidP="00BF697D">
            <w:pPr>
              <w:jc w:val="both"/>
              <w:rPr>
                <w:rFonts w:cstheme="minorHAnsi"/>
              </w:rPr>
            </w:pPr>
            <w:r w:rsidRPr="007420EF">
              <w:rPr>
                <w:rFonts w:cstheme="minorHAnsi"/>
              </w:rPr>
              <w:t>2 360,96</w:t>
            </w:r>
          </w:p>
        </w:tc>
        <w:tc>
          <w:tcPr>
            <w:tcW w:w="1560" w:type="dxa"/>
            <w:tcBorders>
              <w:right w:val="single" w:sz="12" w:space="0" w:color="auto"/>
            </w:tcBorders>
            <w:shd w:val="clear" w:color="auto" w:fill="F2F2F2" w:themeFill="background1" w:themeFillShade="F2"/>
            <w:noWrap/>
            <w:vAlign w:val="center"/>
            <w:hideMark/>
          </w:tcPr>
          <w:p w14:paraId="0A3C2E51" w14:textId="77777777" w:rsidR="007420EF" w:rsidRPr="007420EF" w:rsidRDefault="007420EF" w:rsidP="00BF697D">
            <w:pPr>
              <w:jc w:val="both"/>
              <w:rPr>
                <w:rFonts w:cstheme="minorHAnsi"/>
              </w:rPr>
            </w:pPr>
            <w:r w:rsidRPr="007420EF">
              <w:rPr>
                <w:rFonts w:cstheme="minorHAnsi"/>
              </w:rPr>
              <w:t>2 951,20</w:t>
            </w:r>
          </w:p>
        </w:tc>
      </w:tr>
      <w:tr w:rsidR="007420EF" w:rsidRPr="007420EF" w14:paraId="0B96E7C1" w14:textId="77777777" w:rsidTr="007420EF">
        <w:trPr>
          <w:trHeight w:val="300"/>
        </w:trPr>
        <w:tc>
          <w:tcPr>
            <w:tcW w:w="4660" w:type="dxa"/>
            <w:tcBorders>
              <w:left w:val="single" w:sz="12" w:space="0" w:color="auto"/>
            </w:tcBorders>
            <w:noWrap/>
            <w:hideMark/>
          </w:tcPr>
          <w:p w14:paraId="6F73C5F4" w14:textId="77777777" w:rsidR="007420EF" w:rsidRPr="007420EF" w:rsidRDefault="007420EF" w:rsidP="00BF697D">
            <w:pPr>
              <w:jc w:val="both"/>
              <w:rPr>
                <w:rFonts w:cstheme="minorHAnsi"/>
              </w:rPr>
            </w:pPr>
            <w:r w:rsidRPr="007420EF">
              <w:rPr>
                <w:rFonts w:cstheme="minorHAnsi"/>
              </w:rPr>
              <w:t>Trojčlenná (Plnoletá FO + 2 deti)</w:t>
            </w:r>
          </w:p>
        </w:tc>
        <w:tc>
          <w:tcPr>
            <w:tcW w:w="1900" w:type="dxa"/>
            <w:noWrap/>
            <w:vAlign w:val="center"/>
            <w:hideMark/>
          </w:tcPr>
          <w:p w14:paraId="477E176E" w14:textId="77777777" w:rsidR="007420EF" w:rsidRPr="007420EF" w:rsidRDefault="007420EF" w:rsidP="00BF697D">
            <w:pPr>
              <w:jc w:val="both"/>
              <w:rPr>
                <w:rFonts w:cstheme="minorHAnsi"/>
              </w:rPr>
            </w:pPr>
            <w:r w:rsidRPr="007420EF">
              <w:rPr>
                <w:rFonts w:cstheme="minorHAnsi"/>
              </w:rPr>
              <w:t>524,21</w:t>
            </w:r>
          </w:p>
        </w:tc>
        <w:tc>
          <w:tcPr>
            <w:tcW w:w="1560" w:type="dxa"/>
            <w:noWrap/>
            <w:vAlign w:val="center"/>
            <w:hideMark/>
          </w:tcPr>
          <w:p w14:paraId="4B559F1E" w14:textId="77777777" w:rsidR="007420EF" w:rsidRPr="007420EF" w:rsidRDefault="007420EF" w:rsidP="00BF697D">
            <w:pPr>
              <w:jc w:val="both"/>
              <w:rPr>
                <w:rFonts w:cstheme="minorHAnsi"/>
              </w:rPr>
            </w:pPr>
            <w:r w:rsidRPr="007420EF">
              <w:rPr>
                <w:rFonts w:cstheme="minorHAnsi"/>
              </w:rPr>
              <w:t>1 572,63</w:t>
            </w:r>
          </w:p>
        </w:tc>
        <w:tc>
          <w:tcPr>
            <w:tcW w:w="1560" w:type="dxa"/>
            <w:noWrap/>
            <w:vAlign w:val="center"/>
            <w:hideMark/>
          </w:tcPr>
          <w:p w14:paraId="2EC618AB" w14:textId="77777777" w:rsidR="007420EF" w:rsidRPr="007420EF" w:rsidRDefault="007420EF" w:rsidP="00BF697D">
            <w:pPr>
              <w:jc w:val="both"/>
              <w:rPr>
                <w:rFonts w:cstheme="minorHAnsi"/>
              </w:rPr>
            </w:pPr>
            <w:r w:rsidRPr="007420EF">
              <w:rPr>
                <w:rFonts w:cstheme="minorHAnsi"/>
              </w:rPr>
              <w:t>2 096,84</w:t>
            </w:r>
          </w:p>
        </w:tc>
        <w:tc>
          <w:tcPr>
            <w:tcW w:w="1560" w:type="dxa"/>
            <w:tcBorders>
              <w:right w:val="single" w:sz="12" w:space="0" w:color="auto"/>
            </w:tcBorders>
            <w:noWrap/>
            <w:vAlign w:val="center"/>
            <w:hideMark/>
          </w:tcPr>
          <w:p w14:paraId="00AD18A3" w14:textId="77777777" w:rsidR="007420EF" w:rsidRPr="007420EF" w:rsidRDefault="007420EF" w:rsidP="00BF697D">
            <w:pPr>
              <w:jc w:val="both"/>
              <w:rPr>
                <w:rFonts w:cstheme="minorHAnsi"/>
              </w:rPr>
            </w:pPr>
            <w:r w:rsidRPr="007420EF">
              <w:rPr>
                <w:rFonts w:cstheme="minorHAnsi"/>
              </w:rPr>
              <w:t>2 621,05</w:t>
            </w:r>
          </w:p>
        </w:tc>
      </w:tr>
      <w:tr w:rsidR="007420EF" w:rsidRPr="007420EF" w14:paraId="58A8DB9D" w14:textId="77777777" w:rsidTr="007420EF">
        <w:trPr>
          <w:trHeight w:val="300"/>
        </w:trPr>
        <w:tc>
          <w:tcPr>
            <w:tcW w:w="4660" w:type="dxa"/>
            <w:tcBorders>
              <w:left w:val="single" w:sz="12" w:space="0" w:color="auto"/>
            </w:tcBorders>
            <w:shd w:val="clear" w:color="auto" w:fill="F2F2F2" w:themeFill="background1" w:themeFillShade="F2"/>
            <w:noWrap/>
            <w:hideMark/>
          </w:tcPr>
          <w:p w14:paraId="374595FB" w14:textId="42661C93" w:rsidR="007420EF" w:rsidRPr="007420EF" w:rsidRDefault="007420EF" w:rsidP="00BF697D">
            <w:pPr>
              <w:jc w:val="both"/>
              <w:rPr>
                <w:rFonts w:cstheme="minorHAnsi"/>
              </w:rPr>
            </w:pPr>
            <w:r w:rsidRPr="007420EF">
              <w:rPr>
                <w:rFonts w:cstheme="minorHAnsi"/>
              </w:rPr>
              <w:t>Štvorčle</w:t>
            </w:r>
            <w:r>
              <w:rPr>
                <w:rFonts w:cstheme="minorHAnsi"/>
              </w:rPr>
              <w:t>n</w:t>
            </w:r>
            <w:r w:rsidRPr="007420EF">
              <w:rPr>
                <w:rFonts w:cstheme="minorHAnsi"/>
              </w:rPr>
              <w:t>ná (Plnoletá FO + ďalšia plnoletá FO + 2 deti)</w:t>
            </w:r>
          </w:p>
        </w:tc>
        <w:tc>
          <w:tcPr>
            <w:tcW w:w="1900" w:type="dxa"/>
            <w:shd w:val="clear" w:color="auto" w:fill="F2F2F2" w:themeFill="background1" w:themeFillShade="F2"/>
            <w:noWrap/>
            <w:vAlign w:val="center"/>
            <w:hideMark/>
          </w:tcPr>
          <w:p w14:paraId="03978C60" w14:textId="77777777" w:rsidR="007420EF" w:rsidRPr="007420EF" w:rsidRDefault="007420EF" w:rsidP="00BF697D">
            <w:pPr>
              <w:jc w:val="both"/>
              <w:rPr>
                <w:rFonts w:cstheme="minorHAnsi"/>
              </w:rPr>
            </w:pPr>
            <w:r w:rsidRPr="007420EF">
              <w:rPr>
                <w:rFonts w:cstheme="minorHAnsi"/>
              </w:rPr>
              <w:t>715,35</w:t>
            </w:r>
          </w:p>
        </w:tc>
        <w:tc>
          <w:tcPr>
            <w:tcW w:w="1560" w:type="dxa"/>
            <w:shd w:val="clear" w:color="auto" w:fill="F2F2F2" w:themeFill="background1" w:themeFillShade="F2"/>
            <w:noWrap/>
            <w:vAlign w:val="center"/>
            <w:hideMark/>
          </w:tcPr>
          <w:p w14:paraId="67F0F3EC" w14:textId="77777777" w:rsidR="007420EF" w:rsidRPr="007420EF" w:rsidRDefault="007420EF" w:rsidP="00BF697D">
            <w:pPr>
              <w:jc w:val="both"/>
              <w:rPr>
                <w:rFonts w:cstheme="minorHAnsi"/>
              </w:rPr>
            </w:pPr>
            <w:r w:rsidRPr="007420EF">
              <w:rPr>
                <w:rFonts w:cstheme="minorHAnsi"/>
              </w:rPr>
              <w:t>2 146,05</w:t>
            </w:r>
          </w:p>
        </w:tc>
        <w:tc>
          <w:tcPr>
            <w:tcW w:w="1560" w:type="dxa"/>
            <w:shd w:val="clear" w:color="auto" w:fill="F2F2F2" w:themeFill="background1" w:themeFillShade="F2"/>
            <w:noWrap/>
            <w:vAlign w:val="center"/>
            <w:hideMark/>
          </w:tcPr>
          <w:p w14:paraId="21CA95A7" w14:textId="77777777" w:rsidR="007420EF" w:rsidRPr="007420EF" w:rsidRDefault="007420EF" w:rsidP="00BF697D">
            <w:pPr>
              <w:jc w:val="both"/>
              <w:rPr>
                <w:rFonts w:cstheme="minorHAnsi"/>
              </w:rPr>
            </w:pPr>
            <w:r w:rsidRPr="007420EF">
              <w:rPr>
                <w:rFonts w:cstheme="minorHAnsi"/>
              </w:rPr>
              <w:t>2 861,40</w:t>
            </w:r>
          </w:p>
        </w:tc>
        <w:tc>
          <w:tcPr>
            <w:tcW w:w="1560" w:type="dxa"/>
            <w:tcBorders>
              <w:right w:val="single" w:sz="12" w:space="0" w:color="auto"/>
            </w:tcBorders>
            <w:shd w:val="clear" w:color="auto" w:fill="F2F2F2" w:themeFill="background1" w:themeFillShade="F2"/>
            <w:noWrap/>
            <w:vAlign w:val="center"/>
            <w:hideMark/>
          </w:tcPr>
          <w:p w14:paraId="73DBF73D" w14:textId="77777777" w:rsidR="007420EF" w:rsidRPr="007420EF" w:rsidRDefault="007420EF" w:rsidP="00BF697D">
            <w:pPr>
              <w:jc w:val="both"/>
              <w:rPr>
                <w:rFonts w:cstheme="minorHAnsi"/>
              </w:rPr>
            </w:pPr>
            <w:r w:rsidRPr="007420EF">
              <w:rPr>
                <w:rFonts w:cstheme="minorHAnsi"/>
              </w:rPr>
              <w:t>3 576,75</w:t>
            </w:r>
          </w:p>
        </w:tc>
      </w:tr>
      <w:tr w:rsidR="007420EF" w:rsidRPr="007420EF" w14:paraId="6F762395" w14:textId="77777777" w:rsidTr="007420EF">
        <w:trPr>
          <w:trHeight w:val="300"/>
        </w:trPr>
        <w:tc>
          <w:tcPr>
            <w:tcW w:w="4660" w:type="dxa"/>
            <w:tcBorders>
              <w:left w:val="single" w:sz="12" w:space="0" w:color="auto"/>
            </w:tcBorders>
            <w:noWrap/>
            <w:hideMark/>
          </w:tcPr>
          <w:p w14:paraId="60FE0AFF" w14:textId="77777777" w:rsidR="007420EF" w:rsidRPr="007420EF" w:rsidRDefault="007420EF" w:rsidP="00BF697D">
            <w:pPr>
              <w:jc w:val="both"/>
              <w:rPr>
                <w:rFonts w:cstheme="minorHAnsi"/>
              </w:rPr>
            </w:pPr>
            <w:r w:rsidRPr="007420EF">
              <w:rPr>
                <w:rFonts w:cstheme="minorHAnsi"/>
              </w:rPr>
              <w:lastRenderedPageBreak/>
              <w:t>Štvorčlenná (Plnoletá FO + 3 deti)</w:t>
            </w:r>
          </w:p>
        </w:tc>
        <w:tc>
          <w:tcPr>
            <w:tcW w:w="1900" w:type="dxa"/>
            <w:noWrap/>
            <w:vAlign w:val="center"/>
            <w:hideMark/>
          </w:tcPr>
          <w:p w14:paraId="0CF8C73C" w14:textId="77777777" w:rsidR="007420EF" w:rsidRPr="007420EF" w:rsidRDefault="007420EF" w:rsidP="00BF697D">
            <w:pPr>
              <w:jc w:val="both"/>
              <w:rPr>
                <w:rFonts w:cstheme="minorHAnsi"/>
              </w:rPr>
            </w:pPr>
            <w:r w:rsidRPr="007420EF">
              <w:rPr>
                <w:rFonts w:cstheme="minorHAnsi"/>
              </w:rPr>
              <w:t>649,32</w:t>
            </w:r>
          </w:p>
        </w:tc>
        <w:tc>
          <w:tcPr>
            <w:tcW w:w="1560" w:type="dxa"/>
            <w:noWrap/>
            <w:vAlign w:val="center"/>
            <w:hideMark/>
          </w:tcPr>
          <w:p w14:paraId="3F00002B" w14:textId="77777777" w:rsidR="007420EF" w:rsidRPr="007420EF" w:rsidRDefault="007420EF" w:rsidP="00BF697D">
            <w:pPr>
              <w:jc w:val="both"/>
              <w:rPr>
                <w:rFonts w:cstheme="minorHAnsi"/>
              </w:rPr>
            </w:pPr>
            <w:r w:rsidRPr="007420EF">
              <w:rPr>
                <w:rFonts w:cstheme="minorHAnsi"/>
              </w:rPr>
              <w:t>1 947,96</w:t>
            </w:r>
          </w:p>
        </w:tc>
        <w:tc>
          <w:tcPr>
            <w:tcW w:w="1560" w:type="dxa"/>
            <w:noWrap/>
            <w:vAlign w:val="center"/>
            <w:hideMark/>
          </w:tcPr>
          <w:p w14:paraId="7E135460" w14:textId="77777777" w:rsidR="007420EF" w:rsidRPr="007420EF" w:rsidRDefault="007420EF" w:rsidP="00BF697D">
            <w:pPr>
              <w:jc w:val="both"/>
              <w:rPr>
                <w:rFonts w:cstheme="minorHAnsi"/>
              </w:rPr>
            </w:pPr>
            <w:r w:rsidRPr="007420EF">
              <w:rPr>
                <w:rFonts w:cstheme="minorHAnsi"/>
              </w:rPr>
              <w:t>2 597,28</w:t>
            </w:r>
          </w:p>
        </w:tc>
        <w:tc>
          <w:tcPr>
            <w:tcW w:w="1560" w:type="dxa"/>
            <w:tcBorders>
              <w:right w:val="single" w:sz="12" w:space="0" w:color="auto"/>
            </w:tcBorders>
            <w:noWrap/>
            <w:vAlign w:val="center"/>
            <w:hideMark/>
          </w:tcPr>
          <w:p w14:paraId="4698D026" w14:textId="77777777" w:rsidR="007420EF" w:rsidRPr="007420EF" w:rsidRDefault="007420EF" w:rsidP="00BF697D">
            <w:pPr>
              <w:jc w:val="both"/>
              <w:rPr>
                <w:rFonts w:cstheme="minorHAnsi"/>
              </w:rPr>
            </w:pPr>
            <w:r w:rsidRPr="007420EF">
              <w:rPr>
                <w:rFonts w:cstheme="minorHAnsi"/>
              </w:rPr>
              <w:t>3 246,60</w:t>
            </w:r>
          </w:p>
        </w:tc>
      </w:tr>
      <w:tr w:rsidR="007420EF" w:rsidRPr="007420EF" w14:paraId="54225BBB" w14:textId="77777777" w:rsidTr="007420EF">
        <w:trPr>
          <w:trHeight w:val="300"/>
        </w:trPr>
        <w:tc>
          <w:tcPr>
            <w:tcW w:w="4660" w:type="dxa"/>
            <w:tcBorders>
              <w:left w:val="single" w:sz="12" w:space="0" w:color="auto"/>
            </w:tcBorders>
            <w:shd w:val="clear" w:color="auto" w:fill="F2F2F2" w:themeFill="background1" w:themeFillShade="F2"/>
            <w:noWrap/>
            <w:hideMark/>
          </w:tcPr>
          <w:p w14:paraId="22400CE8" w14:textId="77777777" w:rsidR="007420EF" w:rsidRPr="007420EF" w:rsidRDefault="007420EF" w:rsidP="00BF697D">
            <w:pPr>
              <w:jc w:val="both"/>
              <w:rPr>
                <w:rFonts w:cstheme="minorHAnsi"/>
              </w:rPr>
            </w:pPr>
            <w:r w:rsidRPr="007420EF">
              <w:rPr>
                <w:rFonts w:cstheme="minorHAnsi"/>
              </w:rPr>
              <w:t>Päťčlenná (Plnoletá FO + ďalšia plnoletá FO + 3 deti)</w:t>
            </w:r>
          </w:p>
        </w:tc>
        <w:tc>
          <w:tcPr>
            <w:tcW w:w="1900" w:type="dxa"/>
            <w:shd w:val="clear" w:color="auto" w:fill="F2F2F2" w:themeFill="background1" w:themeFillShade="F2"/>
            <w:noWrap/>
            <w:vAlign w:val="center"/>
            <w:hideMark/>
          </w:tcPr>
          <w:p w14:paraId="0E3BEAD7" w14:textId="77777777" w:rsidR="007420EF" w:rsidRPr="007420EF" w:rsidRDefault="007420EF" w:rsidP="00BF697D">
            <w:pPr>
              <w:jc w:val="both"/>
              <w:rPr>
                <w:rFonts w:cstheme="minorHAnsi"/>
              </w:rPr>
            </w:pPr>
            <w:r w:rsidRPr="007420EF">
              <w:rPr>
                <w:rFonts w:cstheme="minorHAnsi"/>
              </w:rPr>
              <w:t>840,46</w:t>
            </w:r>
          </w:p>
        </w:tc>
        <w:tc>
          <w:tcPr>
            <w:tcW w:w="1560" w:type="dxa"/>
            <w:shd w:val="clear" w:color="auto" w:fill="F2F2F2" w:themeFill="background1" w:themeFillShade="F2"/>
            <w:noWrap/>
            <w:vAlign w:val="center"/>
            <w:hideMark/>
          </w:tcPr>
          <w:p w14:paraId="2BACE351" w14:textId="77777777" w:rsidR="007420EF" w:rsidRPr="007420EF" w:rsidRDefault="007420EF" w:rsidP="00BF697D">
            <w:pPr>
              <w:jc w:val="both"/>
              <w:rPr>
                <w:rFonts w:cstheme="minorHAnsi"/>
              </w:rPr>
            </w:pPr>
            <w:r w:rsidRPr="007420EF">
              <w:rPr>
                <w:rFonts w:cstheme="minorHAnsi"/>
              </w:rPr>
              <w:t>2 521,38</w:t>
            </w:r>
          </w:p>
        </w:tc>
        <w:tc>
          <w:tcPr>
            <w:tcW w:w="1560" w:type="dxa"/>
            <w:shd w:val="clear" w:color="auto" w:fill="F2F2F2" w:themeFill="background1" w:themeFillShade="F2"/>
            <w:noWrap/>
            <w:vAlign w:val="center"/>
            <w:hideMark/>
          </w:tcPr>
          <w:p w14:paraId="22997085" w14:textId="77777777" w:rsidR="007420EF" w:rsidRPr="007420EF" w:rsidRDefault="007420EF" w:rsidP="00BF697D">
            <w:pPr>
              <w:jc w:val="both"/>
              <w:rPr>
                <w:rFonts w:cstheme="minorHAnsi"/>
              </w:rPr>
            </w:pPr>
            <w:r w:rsidRPr="007420EF">
              <w:rPr>
                <w:rFonts w:cstheme="minorHAnsi"/>
              </w:rPr>
              <w:t>3 361,84</w:t>
            </w:r>
          </w:p>
        </w:tc>
        <w:tc>
          <w:tcPr>
            <w:tcW w:w="1560" w:type="dxa"/>
            <w:tcBorders>
              <w:right w:val="single" w:sz="12" w:space="0" w:color="auto"/>
            </w:tcBorders>
            <w:shd w:val="clear" w:color="auto" w:fill="F2F2F2" w:themeFill="background1" w:themeFillShade="F2"/>
            <w:noWrap/>
            <w:vAlign w:val="center"/>
            <w:hideMark/>
          </w:tcPr>
          <w:p w14:paraId="737E6CD7" w14:textId="77777777" w:rsidR="007420EF" w:rsidRPr="007420EF" w:rsidRDefault="007420EF" w:rsidP="00BF697D">
            <w:pPr>
              <w:jc w:val="both"/>
              <w:rPr>
                <w:rFonts w:cstheme="minorHAnsi"/>
              </w:rPr>
            </w:pPr>
            <w:r w:rsidRPr="007420EF">
              <w:rPr>
                <w:rFonts w:cstheme="minorHAnsi"/>
              </w:rPr>
              <w:t>4 202,30</w:t>
            </w:r>
          </w:p>
        </w:tc>
      </w:tr>
      <w:tr w:rsidR="007420EF" w:rsidRPr="007420EF" w14:paraId="588BA434" w14:textId="77777777" w:rsidTr="007420EF">
        <w:trPr>
          <w:trHeight w:val="315"/>
        </w:trPr>
        <w:tc>
          <w:tcPr>
            <w:tcW w:w="4660" w:type="dxa"/>
            <w:tcBorders>
              <w:left w:val="single" w:sz="12" w:space="0" w:color="auto"/>
              <w:bottom w:val="single" w:sz="12" w:space="0" w:color="auto"/>
            </w:tcBorders>
            <w:noWrap/>
            <w:hideMark/>
          </w:tcPr>
          <w:p w14:paraId="4525F6DD" w14:textId="77777777" w:rsidR="007420EF" w:rsidRPr="007420EF" w:rsidRDefault="007420EF" w:rsidP="00BF697D">
            <w:pPr>
              <w:jc w:val="both"/>
              <w:rPr>
                <w:rFonts w:cstheme="minorHAnsi"/>
              </w:rPr>
            </w:pPr>
            <w:r w:rsidRPr="007420EF">
              <w:rPr>
                <w:rFonts w:cstheme="minorHAnsi"/>
              </w:rPr>
              <w:t>Päťčlenná (Plnoletá FO + 4 deti)</w:t>
            </w:r>
          </w:p>
        </w:tc>
        <w:tc>
          <w:tcPr>
            <w:tcW w:w="1900" w:type="dxa"/>
            <w:tcBorders>
              <w:bottom w:val="single" w:sz="12" w:space="0" w:color="auto"/>
            </w:tcBorders>
            <w:noWrap/>
            <w:vAlign w:val="center"/>
            <w:hideMark/>
          </w:tcPr>
          <w:p w14:paraId="5C7C65A2" w14:textId="77777777" w:rsidR="007420EF" w:rsidRPr="007420EF" w:rsidRDefault="007420EF" w:rsidP="00BF697D">
            <w:pPr>
              <w:jc w:val="both"/>
              <w:rPr>
                <w:rFonts w:cstheme="minorHAnsi"/>
              </w:rPr>
            </w:pPr>
            <w:r w:rsidRPr="007420EF">
              <w:rPr>
                <w:rFonts w:cstheme="minorHAnsi"/>
              </w:rPr>
              <w:t>774,43</w:t>
            </w:r>
          </w:p>
        </w:tc>
        <w:tc>
          <w:tcPr>
            <w:tcW w:w="1560" w:type="dxa"/>
            <w:tcBorders>
              <w:bottom w:val="single" w:sz="12" w:space="0" w:color="auto"/>
            </w:tcBorders>
            <w:noWrap/>
            <w:vAlign w:val="center"/>
            <w:hideMark/>
          </w:tcPr>
          <w:p w14:paraId="2B53E087" w14:textId="77777777" w:rsidR="007420EF" w:rsidRPr="007420EF" w:rsidRDefault="007420EF" w:rsidP="00BF697D">
            <w:pPr>
              <w:jc w:val="both"/>
              <w:rPr>
                <w:rFonts w:cstheme="minorHAnsi"/>
              </w:rPr>
            </w:pPr>
            <w:r w:rsidRPr="007420EF">
              <w:rPr>
                <w:rFonts w:cstheme="minorHAnsi"/>
              </w:rPr>
              <w:t>2 323,29</w:t>
            </w:r>
          </w:p>
        </w:tc>
        <w:tc>
          <w:tcPr>
            <w:tcW w:w="1560" w:type="dxa"/>
            <w:tcBorders>
              <w:bottom w:val="single" w:sz="12" w:space="0" w:color="auto"/>
            </w:tcBorders>
            <w:noWrap/>
            <w:vAlign w:val="center"/>
            <w:hideMark/>
          </w:tcPr>
          <w:p w14:paraId="4BD96B5E" w14:textId="77777777" w:rsidR="007420EF" w:rsidRPr="007420EF" w:rsidRDefault="007420EF" w:rsidP="00BF697D">
            <w:pPr>
              <w:jc w:val="both"/>
              <w:rPr>
                <w:rFonts w:cstheme="minorHAnsi"/>
              </w:rPr>
            </w:pPr>
            <w:r w:rsidRPr="007420EF">
              <w:rPr>
                <w:rFonts w:cstheme="minorHAnsi"/>
              </w:rPr>
              <w:t>3 097,72</w:t>
            </w:r>
          </w:p>
        </w:tc>
        <w:tc>
          <w:tcPr>
            <w:tcW w:w="1560" w:type="dxa"/>
            <w:tcBorders>
              <w:bottom w:val="single" w:sz="12" w:space="0" w:color="auto"/>
              <w:right w:val="single" w:sz="12" w:space="0" w:color="auto"/>
            </w:tcBorders>
            <w:noWrap/>
            <w:vAlign w:val="center"/>
            <w:hideMark/>
          </w:tcPr>
          <w:p w14:paraId="6EF8C432" w14:textId="77777777" w:rsidR="007420EF" w:rsidRPr="007420EF" w:rsidRDefault="007420EF" w:rsidP="00BF697D">
            <w:pPr>
              <w:jc w:val="both"/>
              <w:rPr>
                <w:rFonts w:cstheme="minorHAnsi"/>
              </w:rPr>
            </w:pPr>
            <w:r w:rsidRPr="007420EF">
              <w:rPr>
                <w:rFonts w:cstheme="minorHAnsi"/>
              </w:rPr>
              <w:t>3 872,15</w:t>
            </w:r>
          </w:p>
        </w:tc>
      </w:tr>
    </w:tbl>
    <w:p w14:paraId="75D48277" w14:textId="105AC6E8" w:rsidR="007E434B" w:rsidRDefault="007E434B" w:rsidP="00BF697D">
      <w:pPr>
        <w:spacing w:after="0"/>
        <w:jc w:val="both"/>
        <w:rPr>
          <w:rFonts w:cstheme="minorHAnsi"/>
          <w:szCs w:val="24"/>
        </w:rPr>
      </w:pPr>
    </w:p>
    <w:p w14:paraId="6B72334C" w14:textId="71AC5281" w:rsidR="00976999" w:rsidRDefault="00976999" w:rsidP="00BF697D">
      <w:pPr>
        <w:spacing w:after="0"/>
        <w:jc w:val="both"/>
        <w:rPr>
          <w:rFonts w:cstheme="minorHAnsi"/>
          <w:szCs w:val="24"/>
        </w:rPr>
      </w:pPr>
    </w:p>
    <w:p w14:paraId="044B585B" w14:textId="30B2410B" w:rsidR="0098271E" w:rsidRPr="00BF697D" w:rsidRDefault="007E434B" w:rsidP="00BF697D">
      <w:pPr>
        <w:pStyle w:val="Odsekzoznamu"/>
        <w:numPr>
          <w:ilvl w:val="0"/>
          <w:numId w:val="12"/>
        </w:numPr>
        <w:ind w:left="426" w:hanging="426"/>
        <w:jc w:val="both"/>
        <w:rPr>
          <w:rFonts w:eastAsiaTheme="majorEastAsia" w:cstheme="minorHAnsi"/>
          <w:color w:val="2E74B5" w:themeColor="accent1" w:themeShade="BF"/>
          <w:sz w:val="32"/>
          <w:szCs w:val="32"/>
        </w:rPr>
      </w:pPr>
      <w:r w:rsidRPr="00BF697D">
        <w:rPr>
          <w:rFonts w:eastAsiaTheme="majorEastAsia" w:cstheme="minorHAnsi"/>
          <w:color w:val="2E74B5" w:themeColor="accent1" w:themeShade="BF"/>
          <w:sz w:val="32"/>
          <w:szCs w:val="32"/>
        </w:rPr>
        <w:t>Odporúčaný postup pre obce k úprave spôsobu prideľovania bytov</w:t>
      </w:r>
    </w:p>
    <w:p w14:paraId="417600E3" w14:textId="0DFB8FA1" w:rsidR="007420EF" w:rsidRDefault="0092388A" w:rsidP="00BF697D">
      <w:pPr>
        <w:jc w:val="both"/>
        <w:rPr>
          <w:rFonts w:cstheme="minorHAnsi"/>
          <w:szCs w:val="24"/>
        </w:rPr>
      </w:pPr>
      <w:r w:rsidRPr="0092388A">
        <w:rPr>
          <w:rFonts w:cstheme="minorHAnsi"/>
          <w:szCs w:val="24"/>
        </w:rPr>
        <w:t>Po 1. novembri 2023 sú obce povinné aplikovať zmenené pravidlá pri predaji alebo nájme obecného majetku</w:t>
      </w:r>
      <w:r>
        <w:rPr>
          <w:rStyle w:val="Odkaznapoznmkupodiarou"/>
          <w:rFonts w:cstheme="minorHAnsi"/>
          <w:szCs w:val="24"/>
        </w:rPr>
        <w:footnoteReference w:id="7"/>
      </w:r>
      <w:r w:rsidRPr="0092388A">
        <w:rPr>
          <w:rFonts w:cstheme="minorHAnsi"/>
          <w:szCs w:val="24"/>
        </w:rPr>
        <w:t xml:space="preserve">. Tiež </w:t>
      </w:r>
      <w:r>
        <w:rPr>
          <w:rFonts w:cstheme="minorHAnsi"/>
          <w:szCs w:val="24"/>
        </w:rPr>
        <w:t xml:space="preserve">boli </w:t>
      </w:r>
      <w:r w:rsidRPr="0092388A">
        <w:rPr>
          <w:rFonts w:cstheme="minorHAnsi"/>
          <w:szCs w:val="24"/>
        </w:rPr>
        <w:t>predp</w:t>
      </w:r>
      <w:r>
        <w:rPr>
          <w:rFonts w:cstheme="minorHAnsi"/>
          <w:szCs w:val="24"/>
        </w:rPr>
        <w:t>í</w:t>
      </w:r>
      <w:r w:rsidRPr="0092388A">
        <w:rPr>
          <w:rFonts w:cstheme="minorHAnsi"/>
          <w:szCs w:val="24"/>
        </w:rPr>
        <w:t>s</w:t>
      </w:r>
      <w:r>
        <w:rPr>
          <w:rFonts w:cstheme="minorHAnsi"/>
          <w:szCs w:val="24"/>
        </w:rPr>
        <w:t xml:space="preserve">ané </w:t>
      </w:r>
      <w:r w:rsidRPr="0092388A">
        <w:rPr>
          <w:rFonts w:cstheme="minorHAnsi"/>
          <w:szCs w:val="24"/>
        </w:rPr>
        <w:t xml:space="preserve">nové povinné náležitosti zásad hospodárenia a nakladania s majetkom obce. Súčasne nové nariadenia ukladajú povinnosť prevádzať a prenajímať majetok za obvyklé trhové ceny. </w:t>
      </w:r>
      <w:r>
        <w:rPr>
          <w:rFonts w:cstheme="minorHAnsi"/>
          <w:szCs w:val="24"/>
        </w:rPr>
        <w:t>V nadväznosti na uvedené sú obce po</w:t>
      </w:r>
      <w:r w:rsidRPr="0092388A">
        <w:rPr>
          <w:rFonts w:cstheme="minorHAnsi"/>
          <w:szCs w:val="24"/>
        </w:rPr>
        <w:t>vinné doplniť do zásad hospodárenia a nakladania s majetkom obce</w:t>
      </w:r>
      <w:r>
        <w:rPr>
          <w:rFonts w:cstheme="minorHAnsi"/>
          <w:szCs w:val="24"/>
        </w:rPr>
        <w:t xml:space="preserve"> prijaté zmeny, ako aj </w:t>
      </w:r>
      <w:r w:rsidRPr="0092388A">
        <w:rPr>
          <w:rFonts w:cstheme="minorHAnsi"/>
          <w:szCs w:val="24"/>
        </w:rPr>
        <w:t>príklady dôvodov hodných osobitného zreteľa, i to, kedy možno výnimočne dojednať cenu za kúpu alebo nájom nižšiu, než je obvyklá trhová cena.</w:t>
      </w:r>
    </w:p>
    <w:p w14:paraId="06C1C5EB" w14:textId="13BD463E" w:rsidR="0092388A" w:rsidRDefault="0092388A" w:rsidP="00BF697D">
      <w:pPr>
        <w:jc w:val="both"/>
        <w:rPr>
          <w:rFonts w:cstheme="minorHAnsi"/>
          <w:szCs w:val="24"/>
        </w:rPr>
      </w:pPr>
      <w:r w:rsidRPr="0092388A">
        <w:rPr>
          <w:rFonts w:cstheme="minorHAnsi"/>
          <w:szCs w:val="24"/>
        </w:rPr>
        <w:t>Zásady hospodárenia a nakladania s</w:t>
      </w:r>
      <w:r>
        <w:rPr>
          <w:rFonts w:cstheme="minorHAnsi"/>
          <w:szCs w:val="24"/>
        </w:rPr>
        <w:t> </w:t>
      </w:r>
      <w:r w:rsidRPr="0092388A">
        <w:rPr>
          <w:rFonts w:cstheme="minorHAnsi"/>
          <w:szCs w:val="24"/>
        </w:rPr>
        <w:t>majetkom</w:t>
      </w:r>
      <w:r>
        <w:rPr>
          <w:rFonts w:cstheme="minorHAnsi"/>
          <w:szCs w:val="24"/>
        </w:rPr>
        <w:t xml:space="preserve"> obcí v zmysle uvedeného predstavujú jeden zo základných dokumentov upravujúcich nájom majetku obce</w:t>
      </w:r>
      <w:r w:rsidR="00133DF8">
        <w:rPr>
          <w:rFonts w:cstheme="minorHAnsi"/>
          <w:szCs w:val="24"/>
        </w:rPr>
        <w:t xml:space="preserve">, teda aj nájomných bytov obstaraných z NFP. Samotné zásady však nemusia upravovať špecifiká, ktoré sa týkajú nájmu bytov, resp. pravidiel prideľovania nájomných bytov určených na sociálne bývanie. </w:t>
      </w:r>
    </w:p>
    <w:p w14:paraId="406B4A89" w14:textId="77777777" w:rsidR="00133DF8" w:rsidRPr="00133DF8" w:rsidRDefault="00133DF8" w:rsidP="00BF697D">
      <w:pPr>
        <w:jc w:val="both"/>
        <w:rPr>
          <w:rFonts w:cstheme="minorHAnsi"/>
          <w:szCs w:val="24"/>
        </w:rPr>
      </w:pPr>
      <w:r w:rsidRPr="00133DF8">
        <w:rPr>
          <w:rFonts w:cstheme="minorHAnsi"/>
          <w:szCs w:val="24"/>
        </w:rPr>
        <w:t>Vo všeobecnosti pri zámere spracovať pravidlá pre prideľovanie nájomných bytov určených na sociálne bývanie prvou a základnou podmienkou je, aby neboli zo svojej podstaty diskriminačné a vopred účelovo nezabraňovali podaniu žiadosti niektorej zraniteľnej skupine. Zjednodušene povedané, každý má právo podať žiadosť o pridelenie nájomného bytu, avšak na pridelenie bytu vo vlastníctve samosprávy nie je právny nárok. Rozhodnutie o pridelení bytu je závislé na príslušných kritériách, individuálnom posúdení každej žiadosti a rozhodnutí obce o výbere budúceho nájomcu.</w:t>
      </w:r>
    </w:p>
    <w:p w14:paraId="6F1749FA" w14:textId="6CDE348C" w:rsidR="00133DF8" w:rsidRPr="00133DF8" w:rsidRDefault="00133DF8" w:rsidP="00BF697D">
      <w:pPr>
        <w:jc w:val="both"/>
        <w:rPr>
          <w:rFonts w:cstheme="minorHAnsi"/>
          <w:szCs w:val="24"/>
        </w:rPr>
      </w:pPr>
      <w:r w:rsidRPr="00133DF8">
        <w:rPr>
          <w:rFonts w:cstheme="minorHAnsi"/>
          <w:szCs w:val="24"/>
        </w:rPr>
        <w:t>Z</w:t>
      </w:r>
      <w:r>
        <w:rPr>
          <w:rFonts w:cstheme="minorHAnsi"/>
          <w:szCs w:val="24"/>
        </w:rPr>
        <w:t xml:space="preserve"> uvedených dôvodov </w:t>
      </w:r>
      <w:r w:rsidRPr="00133DF8">
        <w:rPr>
          <w:rFonts w:cstheme="minorHAnsi"/>
          <w:szCs w:val="24"/>
        </w:rPr>
        <w:t>by</w:t>
      </w:r>
      <w:r>
        <w:rPr>
          <w:rFonts w:cstheme="minorHAnsi"/>
          <w:szCs w:val="24"/>
        </w:rPr>
        <w:t xml:space="preserve"> teda </w:t>
      </w:r>
      <w:r w:rsidRPr="00133DF8">
        <w:rPr>
          <w:rFonts w:cstheme="minorHAnsi"/>
          <w:szCs w:val="24"/>
        </w:rPr>
        <w:t>pravidlá pre prideľovanie nájomných bytov určených na sociálne bývanie mali obsahovať najmä:</w:t>
      </w:r>
    </w:p>
    <w:p w14:paraId="6B7DDE59" w14:textId="5AF1466F" w:rsidR="00133DF8" w:rsidRPr="00133DF8" w:rsidRDefault="00133DF8" w:rsidP="00BF697D">
      <w:pPr>
        <w:pStyle w:val="Odsekzoznamu"/>
        <w:numPr>
          <w:ilvl w:val="0"/>
          <w:numId w:val="34"/>
        </w:numPr>
        <w:spacing w:after="0"/>
        <w:jc w:val="both"/>
        <w:rPr>
          <w:rFonts w:cstheme="minorHAnsi"/>
          <w:szCs w:val="24"/>
        </w:rPr>
      </w:pPr>
      <w:r w:rsidRPr="00133DF8">
        <w:rPr>
          <w:rFonts w:cstheme="minorHAnsi"/>
          <w:szCs w:val="24"/>
        </w:rPr>
        <w:t xml:space="preserve">informácie týkajúce sa podania žiadosti, </w:t>
      </w:r>
    </w:p>
    <w:p w14:paraId="56C7F723" w14:textId="54B7743F" w:rsidR="00133DF8" w:rsidRPr="00133DF8" w:rsidRDefault="00133DF8" w:rsidP="00BF697D">
      <w:pPr>
        <w:pStyle w:val="Odsekzoznamu"/>
        <w:numPr>
          <w:ilvl w:val="0"/>
          <w:numId w:val="34"/>
        </w:numPr>
        <w:spacing w:after="0"/>
        <w:jc w:val="both"/>
        <w:rPr>
          <w:rFonts w:cstheme="minorHAnsi"/>
          <w:szCs w:val="24"/>
        </w:rPr>
      </w:pPr>
      <w:r w:rsidRPr="00133DF8">
        <w:rPr>
          <w:rFonts w:cstheme="minorHAnsi"/>
          <w:szCs w:val="24"/>
        </w:rPr>
        <w:t>proces rozhodovania obce o pridelení nájomného bytu,</w:t>
      </w:r>
    </w:p>
    <w:p w14:paraId="5060EED4" w14:textId="739BE007" w:rsidR="00133DF8" w:rsidRPr="00133DF8" w:rsidRDefault="00133DF8" w:rsidP="00BF697D">
      <w:pPr>
        <w:pStyle w:val="Odsekzoznamu"/>
        <w:numPr>
          <w:ilvl w:val="0"/>
          <w:numId w:val="34"/>
        </w:numPr>
        <w:spacing w:after="0"/>
        <w:jc w:val="both"/>
        <w:rPr>
          <w:rFonts w:cstheme="minorHAnsi"/>
          <w:szCs w:val="24"/>
        </w:rPr>
      </w:pPr>
      <w:r w:rsidRPr="00133DF8">
        <w:rPr>
          <w:rFonts w:cstheme="minorHAnsi"/>
          <w:szCs w:val="24"/>
        </w:rPr>
        <w:t>kritériá obce pre pridelenie nájomného bytu,</w:t>
      </w:r>
    </w:p>
    <w:p w14:paraId="31B7112F" w14:textId="3BD3E2FA" w:rsidR="00133DF8" w:rsidRPr="00133DF8" w:rsidRDefault="00133DF8" w:rsidP="00BF697D">
      <w:pPr>
        <w:pStyle w:val="Odsekzoznamu"/>
        <w:numPr>
          <w:ilvl w:val="0"/>
          <w:numId w:val="34"/>
        </w:numPr>
        <w:spacing w:after="0"/>
        <w:jc w:val="both"/>
        <w:rPr>
          <w:rFonts w:cstheme="minorHAnsi"/>
          <w:szCs w:val="24"/>
        </w:rPr>
      </w:pPr>
      <w:r w:rsidRPr="00133DF8">
        <w:rPr>
          <w:rFonts w:cstheme="minorHAnsi"/>
          <w:szCs w:val="24"/>
        </w:rPr>
        <w:t>podmienky tykajúce sa nájomných zmlúv,</w:t>
      </w:r>
    </w:p>
    <w:p w14:paraId="571B0D91" w14:textId="130369EA" w:rsidR="00133DF8" w:rsidRPr="00133DF8" w:rsidRDefault="00133DF8" w:rsidP="00BF697D">
      <w:pPr>
        <w:pStyle w:val="Odsekzoznamu"/>
        <w:numPr>
          <w:ilvl w:val="0"/>
          <w:numId w:val="34"/>
        </w:numPr>
        <w:spacing w:after="0"/>
        <w:jc w:val="both"/>
        <w:rPr>
          <w:rFonts w:cstheme="minorHAnsi"/>
          <w:szCs w:val="24"/>
        </w:rPr>
      </w:pPr>
      <w:r w:rsidRPr="00133DF8">
        <w:rPr>
          <w:rFonts w:cstheme="minorHAnsi"/>
          <w:szCs w:val="24"/>
        </w:rPr>
        <w:t>vymedzenie podmienok a postupov, za ktorých je možné prednostné pridelenie bytu obcou (napr. zo sociálnych dôvodov, pri krízových situáciách) alebo iné výnimky z postupu obce,</w:t>
      </w:r>
    </w:p>
    <w:p w14:paraId="5F3C77C3" w14:textId="1806AD47" w:rsidR="00133DF8" w:rsidRPr="00133DF8" w:rsidRDefault="00133DF8" w:rsidP="00BF697D">
      <w:pPr>
        <w:pStyle w:val="Odsekzoznamu"/>
        <w:numPr>
          <w:ilvl w:val="0"/>
          <w:numId w:val="34"/>
        </w:numPr>
        <w:spacing w:after="0"/>
        <w:jc w:val="both"/>
        <w:rPr>
          <w:rFonts w:cstheme="minorHAnsi"/>
          <w:szCs w:val="24"/>
        </w:rPr>
      </w:pPr>
      <w:r w:rsidRPr="00133DF8">
        <w:rPr>
          <w:rFonts w:cstheme="minorHAnsi"/>
          <w:szCs w:val="24"/>
        </w:rPr>
        <w:t>osobitný zreteľ  (ak ho chce obec</w:t>
      </w:r>
      <w:r>
        <w:rPr>
          <w:rFonts w:cstheme="minorHAnsi"/>
          <w:szCs w:val="24"/>
        </w:rPr>
        <w:t xml:space="preserve"> </w:t>
      </w:r>
      <w:r w:rsidRPr="00133DF8">
        <w:rPr>
          <w:rFonts w:cstheme="minorHAnsi"/>
          <w:szCs w:val="24"/>
        </w:rPr>
        <w:t>uplatňovať).</w:t>
      </w:r>
    </w:p>
    <w:p w14:paraId="3DC51ABA" w14:textId="49AE6015" w:rsidR="00133DF8" w:rsidRDefault="00133DF8" w:rsidP="00BF697D">
      <w:pPr>
        <w:jc w:val="both"/>
        <w:rPr>
          <w:rFonts w:cstheme="minorHAnsi"/>
          <w:szCs w:val="24"/>
        </w:rPr>
      </w:pPr>
    </w:p>
    <w:p w14:paraId="1BD8AF20" w14:textId="1A9C7AA7" w:rsidR="00133DF8" w:rsidRPr="00946617" w:rsidRDefault="00133DF8" w:rsidP="00BF697D">
      <w:pPr>
        <w:jc w:val="both"/>
        <w:rPr>
          <w:rFonts w:cstheme="minorHAnsi"/>
          <w:szCs w:val="24"/>
        </w:rPr>
      </w:pPr>
      <w:r w:rsidRPr="00946617">
        <w:rPr>
          <w:rFonts w:cstheme="minorHAnsi"/>
          <w:szCs w:val="24"/>
        </w:rPr>
        <w:t>Ad a) – informácie týkajúce sa podania žiadosti by mali v základnej podobe upravovať, kam sa podáva žiadosť o pridelenie bytu, poprípade akým sp</w:t>
      </w:r>
      <w:r w:rsidR="00CA7148">
        <w:rPr>
          <w:rFonts w:cstheme="minorHAnsi"/>
          <w:szCs w:val="24"/>
        </w:rPr>
        <w:t>ôsobom (listinne, elektronicky), a</w:t>
      </w:r>
      <w:r w:rsidRPr="00946617">
        <w:rPr>
          <w:rFonts w:cstheme="minorHAnsi"/>
          <w:szCs w:val="24"/>
        </w:rPr>
        <w:t xml:space="preserve">ké minimálne informácie má žiadosť obsahovať (taktiež môže byť súčasťou príloh aj vzor žiadosti o pridelenie nájomného bytu  alebo informácia o tom, kde je zverejnený).  </w:t>
      </w:r>
    </w:p>
    <w:p w14:paraId="62C312ED" w14:textId="26B6EA01" w:rsidR="00133DF8" w:rsidRPr="00946617" w:rsidRDefault="00133DF8" w:rsidP="00BF697D">
      <w:pPr>
        <w:jc w:val="both"/>
        <w:rPr>
          <w:rFonts w:cstheme="minorHAnsi"/>
          <w:szCs w:val="24"/>
        </w:rPr>
      </w:pPr>
      <w:r w:rsidRPr="00946617">
        <w:rPr>
          <w:rFonts w:cstheme="minorHAnsi"/>
          <w:szCs w:val="24"/>
        </w:rPr>
        <w:t>Samospráva by ďalej v tejto časti mala definovať:</w:t>
      </w:r>
    </w:p>
    <w:p w14:paraId="70B9F6B2" w14:textId="10383538" w:rsidR="00133DF8" w:rsidRPr="00946617" w:rsidRDefault="00133DF8" w:rsidP="00BF697D">
      <w:pPr>
        <w:pStyle w:val="Odsekzoznamu"/>
        <w:numPr>
          <w:ilvl w:val="0"/>
          <w:numId w:val="30"/>
        </w:numPr>
        <w:jc w:val="both"/>
        <w:rPr>
          <w:rFonts w:cstheme="minorHAnsi"/>
          <w:szCs w:val="24"/>
        </w:rPr>
      </w:pPr>
      <w:r w:rsidRPr="00946617">
        <w:rPr>
          <w:rFonts w:cstheme="minorHAnsi"/>
          <w:szCs w:val="24"/>
        </w:rPr>
        <w:t>spôsob evidencie žiadostí (zoznam žiadateľov o pridelenie nájomného bytu),</w:t>
      </w:r>
    </w:p>
    <w:p w14:paraId="2939FA62" w14:textId="2122BFC5" w:rsidR="00133DF8" w:rsidRPr="00946617" w:rsidRDefault="00133DF8" w:rsidP="00BF697D">
      <w:pPr>
        <w:pStyle w:val="Odsekzoznamu"/>
        <w:numPr>
          <w:ilvl w:val="0"/>
          <w:numId w:val="30"/>
        </w:numPr>
        <w:jc w:val="both"/>
        <w:rPr>
          <w:rFonts w:cstheme="minorHAnsi"/>
          <w:szCs w:val="24"/>
        </w:rPr>
      </w:pPr>
      <w:r w:rsidRPr="00946617">
        <w:rPr>
          <w:rFonts w:cstheme="minorHAnsi"/>
          <w:szCs w:val="24"/>
        </w:rPr>
        <w:lastRenderedPageBreak/>
        <w:t>kto vedie evidenciu,</w:t>
      </w:r>
    </w:p>
    <w:p w14:paraId="304754D9" w14:textId="4591593B" w:rsidR="00133DF8" w:rsidRPr="00946617" w:rsidRDefault="00133DF8" w:rsidP="00BF697D">
      <w:pPr>
        <w:pStyle w:val="Odsekzoznamu"/>
        <w:numPr>
          <w:ilvl w:val="0"/>
          <w:numId w:val="30"/>
        </w:numPr>
        <w:jc w:val="both"/>
        <w:rPr>
          <w:rFonts w:cstheme="minorHAnsi"/>
          <w:szCs w:val="24"/>
        </w:rPr>
      </w:pPr>
      <w:r w:rsidRPr="00946617">
        <w:rPr>
          <w:rFonts w:cstheme="minorHAnsi"/>
          <w:szCs w:val="24"/>
        </w:rPr>
        <w:t>ako bude žiadateľ vyrozumený o stave žiadosti,</w:t>
      </w:r>
    </w:p>
    <w:p w14:paraId="3B8EDB1B" w14:textId="1D8C51DA" w:rsidR="00133DF8" w:rsidRPr="00946617" w:rsidRDefault="00133DF8" w:rsidP="00BF697D">
      <w:pPr>
        <w:pStyle w:val="Odsekzoznamu"/>
        <w:numPr>
          <w:ilvl w:val="0"/>
          <w:numId w:val="30"/>
        </w:numPr>
        <w:jc w:val="both"/>
        <w:rPr>
          <w:rFonts w:cstheme="minorHAnsi"/>
          <w:szCs w:val="24"/>
        </w:rPr>
      </w:pPr>
      <w:r w:rsidRPr="00946617">
        <w:rPr>
          <w:rFonts w:cstheme="minorHAnsi"/>
          <w:szCs w:val="24"/>
        </w:rPr>
        <w:t>zaradenie do evidencie,</w:t>
      </w:r>
    </w:p>
    <w:p w14:paraId="72785F37" w14:textId="1DCCD5A0" w:rsidR="00133DF8" w:rsidRPr="00946617" w:rsidRDefault="00133DF8" w:rsidP="00BF697D">
      <w:pPr>
        <w:pStyle w:val="Odsekzoznamu"/>
        <w:numPr>
          <w:ilvl w:val="0"/>
          <w:numId w:val="30"/>
        </w:numPr>
        <w:jc w:val="both"/>
        <w:rPr>
          <w:rFonts w:cstheme="minorHAnsi"/>
          <w:szCs w:val="24"/>
        </w:rPr>
      </w:pPr>
      <w:r w:rsidRPr="00946617">
        <w:rPr>
          <w:rFonts w:cstheme="minorHAnsi"/>
          <w:szCs w:val="24"/>
        </w:rPr>
        <w:t>dobu evidencie žiadosti,</w:t>
      </w:r>
    </w:p>
    <w:p w14:paraId="0EE9BAF8" w14:textId="4FD7EA25" w:rsidR="00133DF8" w:rsidRPr="00946617" w:rsidRDefault="00133DF8" w:rsidP="00BF697D">
      <w:pPr>
        <w:pStyle w:val="Odsekzoznamu"/>
        <w:numPr>
          <w:ilvl w:val="0"/>
          <w:numId w:val="30"/>
        </w:numPr>
        <w:jc w:val="both"/>
        <w:rPr>
          <w:rFonts w:cstheme="minorHAnsi"/>
          <w:szCs w:val="24"/>
        </w:rPr>
      </w:pPr>
      <w:r w:rsidRPr="00946617">
        <w:rPr>
          <w:rFonts w:cstheme="minorHAnsi"/>
          <w:szCs w:val="24"/>
        </w:rPr>
        <w:t>postup opätovného zaradenia do evidencie a</w:t>
      </w:r>
    </w:p>
    <w:p w14:paraId="37B6647B" w14:textId="389B4431" w:rsidR="00133DF8" w:rsidRPr="00946617" w:rsidRDefault="00133DF8" w:rsidP="00BF697D">
      <w:pPr>
        <w:pStyle w:val="Odsekzoznamu"/>
        <w:numPr>
          <w:ilvl w:val="0"/>
          <w:numId w:val="30"/>
        </w:numPr>
        <w:jc w:val="both"/>
        <w:rPr>
          <w:rFonts w:cstheme="minorHAnsi"/>
          <w:szCs w:val="24"/>
        </w:rPr>
      </w:pPr>
      <w:r w:rsidRPr="00946617">
        <w:rPr>
          <w:rFonts w:cstheme="minorHAnsi"/>
          <w:szCs w:val="24"/>
        </w:rPr>
        <w:t xml:space="preserve">ďalšie náležitosti súvisiace s evidenciou žiadosti (aktualizácia informácií v žiadosti a pod.). </w:t>
      </w:r>
    </w:p>
    <w:p w14:paraId="6B3998D9" w14:textId="77777777" w:rsidR="00133DF8" w:rsidRPr="00946617" w:rsidRDefault="00133DF8" w:rsidP="00BF697D">
      <w:pPr>
        <w:jc w:val="both"/>
        <w:rPr>
          <w:rFonts w:cstheme="minorHAnsi"/>
          <w:szCs w:val="24"/>
        </w:rPr>
      </w:pPr>
      <w:r w:rsidRPr="00946617">
        <w:rPr>
          <w:rFonts w:cstheme="minorHAnsi"/>
          <w:szCs w:val="24"/>
        </w:rPr>
        <w:t>V tejto časti majú obce najčastejšie stanovené aj požiadavky na žiadateľa, teda kto môže o nájomný byt požiadať. Tieto podmienky musí žiadateľ o pridelenie nájomného bytu spĺňať, inak jeho žiadosť nebude zaradená do evidencie/zoznamu žiadateľov, resp. nebude vyhodnotená ako oprávnená.</w:t>
      </w:r>
    </w:p>
    <w:p w14:paraId="1BA9B8B1" w14:textId="724DEBAB" w:rsidR="00133DF8" w:rsidRPr="00946617" w:rsidRDefault="00133DF8" w:rsidP="00BF697D">
      <w:pPr>
        <w:jc w:val="both"/>
        <w:rPr>
          <w:rFonts w:cstheme="minorHAnsi"/>
          <w:szCs w:val="24"/>
        </w:rPr>
      </w:pPr>
      <w:r w:rsidRPr="00946617">
        <w:rPr>
          <w:rFonts w:cstheme="minorHAnsi"/>
          <w:szCs w:val="24"/>
        </w:rPr>
        <w:t>Je to zároveň oblasť, kde si obce dodatočne (nad rámec platnej legislatívy) definujú podmienky, ktoré obmedzujú prístup niektorých skupín k nájomným bytom určeným na sociálne bývanie. Z praktického hľadiska väčšina z týchto podmienok má byť súčasťou individuálneho posúdenia žiadosti pri prideľovaní bytu, ale nie ako podmienka zaradenia do zoznamu oprávnených žiadateľov o pridelenie nájomného bytu.</w:t>
      </w:r>
    </w:p>
    <w:p w14:paraId="196F8028" w14:textId="63472CE4" w:rsidR="00133DF8" w:rsidRPr="00946617" w:rsidRDefault="00133DF8" w:rsidP="00BF697D">
      <w:pPr>
        <w:jc w:val="both"/>
        <w:rPr>
          <w:rFonts w:cstheme="minorHAnsi"/>
          <w:szCs w:val="24"/>
        </w:rPr>
      </w:pPr>
      <w:r w:rsidRPr="00946617">
        <w:rPr>
          <w:rFonts w:cstheme="minorHAnsi"/>
          <w:szCs w:val="24"/>
        </w:rPr>
        <w:t>V súlade s uplatňovaním zásady rovnakého zaobchádzania v prístupe k nájomnému bývaniu by pravidlá pre prideľovanie nemali obmedzovať kohokoľvek z možnosti požiadať o pridelenie takéhoto bytu. Najčastejšie opakujúce sa podmienky obmedzujúce fyzickú osobu podať žiadosť sú:</w:t>
      </w:r>
    </w:p>
    <w:p w14:paraId="105D8814" w14:textId="775FC819" w:rsidR="00133DF8" w:rsidRPr="00946617" w:rsidRDefault="00133DF8" w:rsidP="00BF697D">
      <w:pPr>
        <w:pStyle w:val="Odsekzoznamu"/>
        <w:numPr>
          <w:ilvl w:val="0"/>
          <w:numId w:val="30"/>
        </w:numPr>
        <w:jc w:val="both"/>
        <w:rPr>
          <w:rFonts w:cstheme="minorHAnsi"/>
          <w:szCs w:val="24"/>
        </w:rPr>
      </w:pPr>
      <w:r w:rsidRPr="00946617">
        <w:rPr>
          <w:rFonts w:cstheme="minorHAnsi"/>
          <w:szCs w:val="24"/>
        </w:rPr>
        <w:t xml:space="preserve">stanovenie minimálnej hranice príjmu </w:t>
      </w:r>
    </w:p>
    <w:p w14:paraId="6F3A1441" w14:textId="5CF7672E" w:rsidR="00133DF8" w:rsidRPr="00946617" w:rsidRDefault="008A7871" w:rsidP="00BF697D">
      <w:pPr>
        <w:pStyle w:val="Odsekzoznamu"/>
        <w:numPr>
          <w:ilvl w:val="0"/>
          <w:numId w:val="30"/>
        </w:numPr>
        <w:jc w:val="both"/>
        <w:rPr>
          <w:rFonts w:cstheme="minorHAnsi"/>
          <w:szCs w:val="24"/>
        </w:rPr>
      </w:pPr>
      <w:r w:rsidRPr="00946617">
        <w:rPr>
          <w:rFonts w:cstheme="minorHAnsi"/>
          <w:szCs w:val="24"/>
        </w:rPr>
        <w:t>existencia dlhu voči obci</w:t>
      </w:r>
    </w:p>
    <w:p w14:paraId="41A8F246" w14:textId="331AB2D3" w:rsidR="00133DF8" w:rsidRPr="00946617" w:rsidRDefault="008A7871" w:rsidP="00BF697D">
      <w:pPr>
        <w:jc w:val="both"/>
        <w:rPr>
          <w:rFonts w:cstheme="minorHAnsi"/>
          <w:szCs w:val="24"/>
        </w:rPr>
      </w:pPr>
      <w:r w:rsidRPr="00946617">
        <w:rPr>
          <w:rFonts w:cstheme="minorHAnsi"/>
          <w:szCs w:val="24"/>
        </w:rPr>
        <w:t>O</w:t>
      </w:r>
      <w:r w:rsidR="00133DF8" w:rsidRPr="00946617">
        <w:rPr>
          <w:rFonts w:cstheme="minorHAnsi"/>
          <w:szCs w:val="24"/>
        </w:rPr>
        <w:t>bce by pri</w:t>
      </w:r>
      <w:r w:rsidRPr="00946617">
        <w:rPr>
          <w:rFonts w:cstheme="minorHAnsi"/>
          <w:szCs w:val="24"/>
        </w:rPr>
        <w:t xml:space="preserve"> d</w:t>
      </w:r>
      <w:r w:rsidR="00133DF8" w:rsidRPr="00946617">
        <w:rPr>
          <w:rFonts w:cstheme="minorHAnsi"/>
          <w:szCs w:val="24"/>
        </w:rPr>
        <w:t>efinovaní</w:t>
      </w:r>
      <w:r w:rsidRPr="00946617">
        <w:rPr>
          <w:rFonts w:cstheme="minorHAnsi"/>
          <w:szCs w:val="24"/>
        </w:rPr>
        <w:t xml:space="preserve"> podmienok </w:t>
      </w:r>
      <w:r w:rsidR="00133DF8" w:rsidRPr="00946617">
        <w:rPr>
          <w:rFonts w:cstheme="minorHAnsi"/>
          <w:szCs w:val="24"/>
        </w:rPr>
        <w:t>mali dbať na to, aby neboli diskriminačné a aby neznevýhodňovali ktorúkoľvek fyzickú osobu z možnosti  prístupu k nájomnému bytu určené</w:t>
      </w:r>
      <w:r w:rsidRPr="00946617">
        <w:rPr>
          <w:rFonts w:cstheme="minorHAnsi"/>
          <w:szCs w:val="24"/>
        </w:rPr>
        <w:t>mu na sociálne bývanie.</w:t>
      </w:r>
    </w:p>
    <w:p w14:paraId="229ACE49" w14:textId="3CA9216B" w:rsidR="008A7871" w:rsidRPr="00946617" w:rsidRDefault="008A7871" w:rsidP="00BF697D">
      <w:pPr>
        <w:jc w:val="both"/>
        <w:rPr>
          <w:rFonts w:cstheme="minorHAnsi"/>
          <w:szCs w:val="24"/>
        </w:rPr>
      </w:pPr>
      <w:r w:rsidRPr="00946617">
        <w:rPr>
          <w:rFonts w:cstheme="minorHAnsi"/>
          <w:szCs w:val="24"/>
        </w:rPr>
        <w:t xml:space="preserve">Ad b) - proces rozhodovania obce o pridelení nájomného bytu by mal jasne definovať, ako bude obec postupovať pri rozhodovaní o pridelení nájomného bytu. Malo by byť špecifikované kto a na základe akých kritérií bude posudzovať jednotlivé žiadosti, záväznosť takéhoto posúdenia a kto finálne rozhodne o pridelení bytu. </w:t>
      </w:r>
    </w:p>
    <w:p w14:paraId="27E89040" w14:textId="77777777" w:rsidR="008A7871" w:rsidRPr="00946617" w:rsidRDefault="008A7871" w:rsidP="00BF697D">
      <w:pPr>
        <w:jc w:val="both"/>
        <w:rPr>
          <w:rFonts w:cstheme="minorHAnsi"/>
          <w:szCs w:val="24"/>
        </w:rPr>
      </w:pPr>
      <w:r w:rsidRPr="00946617">
        <w:rPr>
          <w:rFonts w:cstheme="minorHAnsi"/>
          <w:szCs w:val="24"/>
        </w:rPr>
        <w:t>Z hľadiska praxe sú najčastejšími spôsobmi prideľovania nájomných bytov (v prípade novo obstaraného bytového domu):</w:t>
      </w:r>
    </w:p>
    <w:p w14:paraId="1FF2B6E7" w14:textId="3F0E3907" w:rsidR="008A7871" w:rsidRPr="00946617" w:rsidRDefault="008A7871" w:rsidP="00BF697D">
      <w:pPr>
        <w:pStyle w:val="Odsekzoznamu"/>
        <w:numPr>
          <w:ilvl w:val="0"/>
          <w:numId w:val="30"/>
        </w:numPr>
        <w:jc w:val="both"/>
        <w:rPr>
          <w:rFonts w:cstheme="minorHAnsi"/>
          <w:szCs w:val="24"/>
        </w:rPr>
      </w:pPr>
      <w:r w:rsidRPr="00946617">
        <w:rPr>
          <w:rFonts w:cstheme="minorHAnsi"/>
          <w:szCs w:val="24"/>
        </w:rPr>
        <w:t>podľa poradia zo zoznamu žiadateľov o pridelenie nájomného bytu,</w:t>
      </w:r>
    </w:p>
    <w:p w14:paraId="3D5F729E" w14:textId="346E0DDC" w:rsidR="008A7871" w:rsidRPr="00946617" w:rsidRDefault="008A7871" w:rsidP="00BF697D">
      <w:pPr>
        <w:pStyle w:val="Odsekzoznamu"/>
        <w:numPr>
          <w:ilvl w:val="0"/>
          <w:numId w:val="30"/>
        </w:numPr>
        <w:jc w:val="both"/>
        <w:rPr>
          <w:rFonts w:cstheme="minorHAnsi"/>
          <w:szCs w:val="24"/>
        </w:rPr>
      </w:pPr>
      <w:r w:rsidRPr="00946617">
        <w:rPr>
          <w:rFonts w:cstheme="minorHAnsi"/>
          <w:szCs w:val="24"/>
        </w:rPr>
        <w:t>žrebovaním zo zoznamu žiadateľov o pridelenie nájomného bytu,</w:t>
      </w:r>
    </w:p>
    <w:p w14:paraId="11BCE1CE" w14:textId="02C36AB2" w:rsidR="008A7871" w:rsidRPr="00946617" w:rsidRDefault="008A7871" w:rsidP="00BF697D">
      <w:pPr>
        <w:pStyle w:val="Odsekzoznamu"/>
        <w:numPr>
          <w:ilvl w:val="0"/>
          <w:numId w:val="30"/>
        </w:numPr>
        <w:jc w:val="both"/>
        <w:rPr>
          <w:rFonts w:cstheme="minorHAnsi"/>
          <w:szCs w:val="24"/>
        </w:rPr>
      </w:pPr>
      <w:r w:rsidRPr="00946617">
        <w:rPr>
          <w:rFonts w:cstheme="minorHAnsi"/>
          <w:szCs w:val="24"/>
        </w:rPr>
        <w:t>zo zoznamu žiadateľov o pridelenie nájomného bytu rozhodnutím podľa bodového hodnotenia na základe definovaných kritérií obce.</w:t>
      </w:r>
    </w:p>
    <w:p w14:paraId="55341005" w14:textId="482C52D0" w:rsidR="008A7871" w:rsidRPr="00946617" w:rsidRDefault="008A7871" w:rsidP="00BF697D">
      <w:pPr>
        <w:jc w:val="both"/>
        <w:rPr>
          <w:rFonts w:cstheme="minorHAnsi"/>
          <w:szCs w:val="24"/>
        </w:rPr>
      </w:pPr>
      <w:r w:rsidRPr="00946617">
        <w:rPr>
          <w:rFonts w:cstheme="minorHAnsi"/>
          <w:szCs w:val="24"/>
        </w:rPr>
        <w:t xml:space="preserve">Z hľadiska transparentnosti rozhodovania by si obce mali viesť  zoznam žiadateľov o pridelenie nájomného bytu a následne by mal byť uplatňovaný najmä model bodového hodnotenia žiadostí. Práve hodnotiaci dotazník  umožňuje na jednej strane obci objektívne posúdiť žiadateľov vo formalizovanej podobe a na druhej strane umožňuje zohľadniť lokálne definované priority v bývaní. </w:t>
      </w:r>
    </w:p>
    <w:p w14:paraId="6771DA90" w14:textId="11329FC8" w:rsidR="008A7871" w:rsidRPr="00946617" w:rsidRDefault="009D7F08" w:rsidP="00BF697D">
      <w:pPr>
        <w:jc w:val="both"/>
        <w:rPr>
          <w:rFonts w:cstheme="minorHAnsi"/>
          <w:szCs w:val="24"/>
        </w:rPr>
      </w:pPr>
      <w:r w:rsidRPr="00946617">
        <w:rPr>
          <w:rFonts w:cstheme="minorHAnsi"/>
          <w:szCs w:val="24"/>
        </w:rPr>
        <w:t>Ad c) - kritériá obce pre pridelenie nájomného bytu – táto časť je vysvetlená v bode 1</w:t>
      </w:r>
      <w:r w:rsidR="009D4652">
        <w:rPr>
          <w:rFonts w:cstheme="minorHAnsi"/>
          <w:szCs w:val="24"/>
        </w:rPr>
        <w:t>2</w:t>
      </w:r>
      <w:r w:rsidRPr="00946617">
        <w:rPr>
          <w:rFonts w:cstheme="minorHAnsi"/>
          <w:szCs w:val="24"/>
        </w:rPr>
        <w:t>.</w:t>
      </w:r>
    </w:p>
    <w:p w14:paraId="4AE2B262" w14:textId="5E286384" w:rsidR="009D7F08" w:rsidRPr="00946617" w:rsidRDefault="009D7F08" w:rsidP="00BF697D">
      <w:pPr>
        <w:jc w:val="both"/>
        <w:rPr>
          <w:rFonts w:cstheme="minorHAnsi"/>
          <w:szCs w:val="24"/>
        </w:rPr>
      </w:pPr>
      <w:r w:rsidRPr="00946617">
        <w:rPr>
          <w:rFonts w:cstheme="minorHAnsi"/>
          <w:szCs w:val="24"/>
        </w:rPr>
        <w:t>Ad d) - podmienky týkajúce sa nájomných zmlúv – táto časť je vysvetlená v bode 1</w:t>
      </w:r>
      <w:r w:rsidR="009D4652">
        <w:rPr>
          <w:rFonts w:cstheme="minorHAnsi"/>
          <w:szCs w:val="24"/>
        </w:rPr>
        <w:t>3</w:t>
      </w:r>
      <w:r w:rsidRPr="00946617">
        <w:rPr>
          <w:rFonts w:cstheme="minorHAnsi"/>
          <w:szCs w:val="24"/>
        </w:rPr>
        <w:t>.</w:t>
      </w:r>
    </w:p>
    <w:p w14:paraId="44E7922B" w14:textId="77777777" w:rsidR="009D7F08" w:rsidRPr="00946617" w:rsidRDefault="009D7F08" w:rsidP="00BF697D">
      <w:pPr>
        <w:jc w:val="both"/>
        <w:rPr>
          <w:rFonts w:cstheme="minorHAnsi"/>
          <w:szCs w:val="24"/>
        </w:rPr>
      </w:pPr>
      <w:r w:rsidRPr="00946617">
        <w:rPr>
          <w:rFonts w:cstheme="minorHAnsi"/>
          <w:szCs w:val="24"/>
        </w:rPr>
        <w:t xml:space="preserve">Ad e) - vymedzenie podmienok a postupov, za ktorých je možné prednostné pridelenie bytu obcou (napr. zo sociálnych dôvodov, pri krízových situáciách) alebo iné výnimky z postupu obce si môže taktiež </w:t>
      </w:r>
      <w:r w:rsidRPr="00946617">
        <w:rPr>
          <w:rFonts w:cstheme="minorHAnsi"/>
          <w:szCs w:val="24"/>
        </w:rPr>
        <w:lastRenderedPageBreak/>
        <w:t xml:space="preserve">definovať, pričom určí v tejto časti podmienky, za ktorých dochádza k uplatneniu výnimiek z definovaného postupu prideľovania bytov. Je to postup, ktorý sa využíva v krízových situáciách (ktoré v realite nastávajú ad hoc a nie je možné ich plánovať) a obec si takto vytvára priestor na možné riešenie takýchto prípadov. </w:t>
      </w:r>
    </w:p>
    <w:p w14:paraId="0C5F476A" w14:textId="21D64085" w:rsidR="00946617" w:rsidRPr="00946617" w:rsidRDefault="009D7F08" w:rsidP="00BF697D">
      <w:pPr>
        <w:jc w:val="both"/>
        <w:rPr>
          <w:rFonts w:cstheme="minorHAnsi"/>
          <w:szCs w:val="24"/>
        </w:rPr>
      </w:pPr>
      <w:r w:rsidRPr="00946617">
        <w:rPr>
          <w:rFonts w:cstheme="minorHAnsi"/>
          <w:szCs w:val="24"/>
        </w:rPr>
        <w:t>Ad f) -  osobitný zreteľ môžu vo svojich pravidlách obce upraviť v súlade s § 22 ods. 7 zákona č. 443/2010 Z. z. o dotáciách na rozvoj bývania a o sociálnom bývaní. V zmysle uvedeného majú obce možnosť ustanoviť si okruh oprávnených fyzických osôb, ktorým sa poskytuje bývanie z dôvodov hodných osobitného zreteľa. Takto definovaným fyzickým osobám môže obec prenajať najviac 20 % z počtu podporených nájomných bytov vo svojom vlastníctve. Cieľom je rozšíriť okruh fyzických osôb, ktoré žijú v nájomnom byte, o fyzické osoby, ktoré chce samospráva ako vlastník nájomného bytu ubytovať z dôvodov hodných osobitného zreteľa. Obec je povinná si vo svojich Zásadách hospodáreni</w:t>
      </w:r>
      <w:r w:rsidR="00F131DE">
        <w:rPr>
          <w:rFonts w:cstheme="minorHAnsi"/>
          <w:szCs w:val="24"/>
        </w:rPr>
        <w:t>a</w:t>
      </w:r>
      <w:r w:rsidRPr="00946617">
        <w:rPr>
          <w:rFonts w:cstheme="minorHAnsi"/>
          <w:szCs w:val="24"/>
        </w:rPr>
        <w:t xml:space="preserve"> a nakladania s majetkom obce stanoviť okruh oprávnených fyzických osôb vrátane dôvodov hodných osobitného zreteľa, pre ktoré sa im nájomné byty prenajímajú. V praxi môže ísť napr. o profesie, pri ktorých obec chce, aby boli poskytované v obci, pretože ich zabezpečovanie vyplýva ako povinnosť pre samosprávu. </w:t>
      </w:r>
    </w:p>
    <w:p w14:paraId="1B3CD450" w14:textId="00B190D9" w:rsidR="009D7F08" w:rsidRPr="00946617" w:rsidRDefault="00946617" w:rsidP="00BF697D">
      <w:pPr>
        <w:jc w:val="both"/>
        <w:rPr>
          <w:rFonts w:cstheme="minorHAnsi"/>
          <w:szCs w:val="24"/>
        </w:rPr>
      </w:pPr>
      <w:r w:rsidRPr="00946617">
        <w:rPr>
          <w:rFonts w:cstheme="minorHAnsi"/>
          <w:szCs w:val="24"/>
        </w:rPr>
        <w:t>Je však dôležité upozorniť, že o</w:t>
      </w:r>
      <w:r w:rsidR="009D7F08" w:rsidRPr="00946617">
        <w:rPr>
          <w:rFonts w:cstheme="minorHAnsi"/>
          <w:szCs w:val="24"/>
        </w:rPr>
        <w:t xml:space="preserve">právnené fyzické osoby, ktorým je nájomný byt prenajatý z dôvodov hodných osobitného zreteľa, nemajú právo na opakované uzatvorenie nájomnej zmluvy, nájomná zmluva sa teda uzatvára najviac na 3 roky. </w:t>
      </w:r>
    </w:p>
    <w:p w14:paraId="63B71B6F" w14:textId="77777777" w:rsidR="008A7871" w:rsidRPr="008A7871" w:rsidRDefault="008A7871" w:rsidP="00BF697D">
      <w:pPr>
        <w:jc w:val="both"/>
        <w:rPr>
          <w:rFonts w:cstheme="minorHAnsi"/>
          <w:color w:val="2E74B5" w:themeColor="accent1" w:themeShade="BF"/>
          <w:szCs w:val="24"/>
        </w:rPr>
      </w:pPr>
    </w:p>
    <w:p w14:paraId="43198E2F" w14:textId="35513AEC" w:rsidR="005E6FCA" w:rsidRPr="00BF697D" w:rsidRDefault="005E6FCA" w:rsidP="00BF697D">
      <w:pPr>
        <w:pStyle w:val="Odsekzoznamu"/>
        <w:numPr>
          <w:ilvl w:val="0"/>
          <w:numId w:val="12"/>
        </w:numPr>
        <w:ind w:left="426" w:hanging="502"/>
        <w:jc w:val="both"/>
        <w:rPr>
          <w:rFonts w:eastAsiaTheme="majorEastAsia" w:cstheme="minorHAnsi"/>
          <w:color w:val="2E74B5" w:themeColor="accent1" w:themeShade="BF"/>
          <w:sz w:val="32"/>
          <w:szCs w:val="32"/>
        </w:rPr>
      </w:pPr>
      <w:r w:rsidRPr="00BF697D">
        <w:rPr>
          <w:rFonts w:eastAsiaTheme="majorEastAsia" w:cstheme="minorHAnsi"/>
          <w:color w:val="2E74B5" w:themeColor="accent1" w:themeShade="BF"/>
          <w:sz w:val="32"/>
          <w:szCs w:val="32"/>
        </w:rPr>
        <w:t>Kritériá prideľovania nájomných bytov</w:t>
      </w:r>
    </w:p>
    <w:p w14:paraId="46707BBD" w14:textId="361AF849" w:rsidR="005E6FCA" w:rsidRPr="005E6FCA" w:rsidRDefault="005E6FCA" w:rsidP="00BF697D">
      <w:pPr>
        <w:jc w:val="both"/>
        <w:rPr>
          <w:rFonts w:cstheme="minorHAnsi"/>
          <w:szCs w:val="24"/>
        </w:rPr>
      </w:pPr>
      <w:r>
        <w:rPr>
          <w:rFonts w:cstheme="minorHAnsi"/>
          <w:szCs w:val="24"/>
        </w:rPr>
        <w:t>S</w:t>
      </w:r>
      <w:r w:rsidRPr="005E6FCA">
        <w:rPr>
          <w:rFonts w:cstheme="minorHAnsi"/>
          <w:szCs w:val="24"/>
        </w:rPr>
        <w:t xml:space="preserve">amosprávy by pri stanovovaní kritérií pre pridelenie nájomného bytu mali vychádzať z poznania svojho lokálneho trhu s bývaním a podľa týchto potrieb aj definovať kritériá. V prípade, že sú definované priority obce, resp. mesta pri prideľovaní nájomných bytov (takýmito prioritami môže byť napríklad podpora mladých, resp. mladých rodín, seniorov, osôb so zdravotným postihnutím atď.), tie by mali byť následne premietnuté do konkrétnych kritérií (napr. možnosťou získať viac bodov). Na druhej strane je dôležité zdôrazniť, že kritériá by mali všeobecne reflektovať potreby žiadateľov a teda umožňovať získať nájomný byt najmä tým, ktorí ho najviac potrebujú. </w:t>
      </w:r>
    </w:p>
    <w:p w14:paraId="6447D341" w14:textId="77777777" w:rsidR="005E6FCA" w:rsidRPr="005E6FCA" w:rsidRDefault="005E6FCA" w:rsidP="00BF697D">
      <w:pPr>
        <w:jc w:val="both"/>
        <w:rPr>
          <w:rFonts w:cstheme="minorHAnsi"/>
          <w:szCs w:val="24"/>
        </w:rPr>
      </w:pPr>
      <w:r w:rsidRPr="005E6FCA">
        <w:rPr>
          <w:rFonts w:cstheme="minorHAnsi"/>
          <w:szCs w:val="24"/>
        </w:rPr>
        <w:t xml:space="preserve">Pri posudzovaní žiadostí sa môžu zohľadňovať napríklad tieto kritériá: </w:t>
      </w:r>
    </w:p>
    <w:p w14:paraId="7CDADBC3" w14:textId="4E7EB111" w:rsidR="005E6FCA" w:rsidRDefault="005E6FCA" w:rsidP="00BF697D">
      <w:pPr>
        <w:pStyle w:val="Odsekzoznamu"/>
        <w:numPr>
          <w:ilvl w:val="0"/>
          <w:numId w:val="31"/>
        </w:numPr>
        <w:ind w:left="502"/>
        <w:jc w:val="both"/>
        <w:rPr>
          <w:rFonts w:cstheme="minorHAnsi"/>
          <w:szCs w:val="24"/>
        </w:rPr>
      </w:pPr>
      <w:r w:rsidRPr="005E6FCA">
        <w:rPr>
          <w:rFonts w:cstheme="minorHAnsi"/>
          <w:szCs w:val="24"/>
        </w:rPr>
        <w:t>naliehavosť bytovej potreby žiadateľa, pričom sa skúmajú aj je</w:t>
      </w:r>
      <w:r w:rsidR="009D4652">
        <w:rPr>
          <w:rFonts w:cstheme="minorHAnsi"/>
          <w:szCs w:val="24"/>
        </w:rPr>
        <w:t>ho</w:t>
      </w:r>
      <w:r w:rsidRPr="005E6FCA">
        <w:rPr>
          <w:rFonts w:cstheme="minorHAnsi"/>
          <w:szCs w:val="24"/>
        </w:rPr>
        <w:t xml:space="preserve"> majetkové pomery (posudzuje sa skutočný domov, kde posudzovaná osoba/rodina žije a uspokojuje svoju bytovú potrebu),</w:t>
      </w:r>
    </w:p>
    <w:p w14:paraId="51830C10" w14:textId="77777777" w:rsidR="005E6FCA" w:rsidRDefault="005E6FCA" w:rsidP="00BF697D">
      <w:pPr>
        <w:pStyle w:val="Odsekzoznamu"/>
        <w:numPr>
          <w:ilvl w:val="0"/>
          <w:numId w:val="31"/>
        </w:numPr>
        <w:ind w:left="502"/>
        <w:jc w:val="both"/>
        <w:rPr>
          <w:rFonts w:cstheme="minorHAnsi"/>
          <w:szCs w:val="24"/>
        </w:rPr>
      </w:pPr>
      <w:r w:rsidRPr="005E6FCA">
        <w:rPr>
          <w:rFonts w:cstheme="minorHAnsi"/>
          <w:szCs w:val="24"/>
        </w:rPr>
        <w:t xml:space="preserve">skutočnosť, či žiadateľ, resp. osoby žijúce v spoločnej domácnosti/byte sú/nie sú vlastníkmi alebo spoluvlastníkmi nehnuteľnosti určenej na bývanie, poprípade nájomcom iného nájomného bytu (posúdenie súčasnej bytovej situácie) – treba však posudzovať konkrétne prípady, vlastníctvo nehnuteľnosti ešte neznamená, že ju žiadateľ môže užívať na uspokojenie svojho bývania, </w:t>
      </w:r>
    </w:p>
    <w:p w14:paraId="51770296" w14:textId="77777777" w:rsidR="005E6FCA" w:rsidRDefault="005E6FCA" w:rsidP="00BF697D">
      <w:pPr>
        <w:pStyle w:val="Odsekzoznamu"/>
        <w:numPr>
          <w:ilvl w:val="0"/>
          <w:numId w:val="31"/>
        </w:numPr>
        <w:ind w:left="502"/>
        <w:jc w:val="both"/>
        <w:rPr>
          <w:rFonts w:cstheme="minorHAnsi"/>
          <w:szCs w:val="24"/>
        </w:rPr>
      </w:pPr>
      <w:r w:rsidRPr="005E6FCA">
        <w:rPr>
          <w:rFonts w:cstheme="minorHAnsi"/>
          <w:szCs w:val="24"/>
        </w:rPr>
        <w:t>počet maloletých detí, rodinný stav a iné sociálne kritériá,</w:t>
      </w:r>
    </w:p>
    <w:p w14:paraId="7EC03652" w14:textId="77777777" w:rsidR="005E6FCA" w:rsidRDefault="005E6FCA" w:rsidP="00BF697D">
      <w:pPr>
        <w:pStyle w:val="Odsekzoznamu"/>
        <w:numPr>
          <w:ilvl w:val="0"/>
          <w:numId w:val="31"/>
        </w:numPr>
        <w:ind w:left="502"/>
        <w:jc w:val="both"/>
        <w:rPr>
          <w:rFonts w:cstheme="minorHAnsi"/>
          <w:szCs w:val="24"/>
        </w:rPr>
      </w:pPr>
      <w:r w:rsidRPr="005E6FCA">
        <w:rPr>
          <w:rFonts w:cstheme="minorHAnsi"/>
          <w:szCs w:val="24"/>
        </w:rPr>
        <w:t>preukázateľné zdravotné dôvody žiadateľa (prípadne aj vyjadrenie lekára), resp. aj osoby žijúcej v spoločnej domácnosti,</w:t>
      </w:r>
    </w:p>
    <w:p w14:paraId="5DB22A4B" w14:textId="77777777" w:rsidR="005E6FCA" w:rsidRDefault="005E6FCA" w:rsidP="00BF697D">
      <w:pPr>
        <w:pStyle w:val="Odsekzoznamu"/>
        <w:numPr>
          <w:ilvl w:val="0"/>
          <w:numId w:val="31"/>
        </w:numPr>
        <w:ind w:left="502"/>
        <w:jc w:val="both"/>
        <w:rPr>
          <w:rFonts w:cstheme="minorHAnsi"/>
          <w:szCs w:val="24"/>
        </w:rPr>
      </w:pPr>
      <w:r w:rsidRPr="005E6FCA">
        <w:rPr>
          <w:rFonts w:cstheme="minorHAnsi"/>
          <w:szCs w:val="24"/>
        </w:rPr>
        <w:t>finančné možnosti platenia nájomného zo strany žiadateľa (preukázanie príjmu),</w:t>
      </w:r>
    </w:p>
    <w:p w14:paraId="14C73872" w14:textId="77777777" w:rsidR="005E6FCA" w:rsidRDefault="005E6FCA" w:rsidP="00BF697D">
      <w:pPr>
        <w:pStyle w:val="Odsekzoznamu"/>
        <w:numPr>
          <w:ilvl w:val="0"/>
          <w:numId w:val="31"/>
        </w:numPr>
        <w:ind w:left="502"/>
        <w:jc w:val="both"/>
        <w:rPr>
          <w:rFonts w:cstheme="minorHAnsi"/>
          <w:szCs w:val="24"/>
        </w:rPr>
      </w:pPr>
      <w:r w:rsidRPr="005E6FCA">
        <w:rPr>
          <w:rFonts w:cstheme="minorHAnsi"/>
          <w:szCs w:val="24"/>
        </w:rPr>
        <w:t xml:space="preserve">skutočnosť, či ide/nejde o obyvateľa obce/mesta, aktivity žiadateľa pre obec/mesto alebo iná väzba k obci/mestu (zamestnanie, rodinné vzťahy a pod.), </w:t>
      </w:r>
    </w:p>
    <w:p w14:paraId="2B778112" w14:textId="77777777" w:rsidR="005E6FCA" w:rsidRDefault="005E6FCA" w:rsidP="00BF697D">
      <w:pPr>
        <w:pStyle w:val="Odsekzoznamu"/>
        <w:numPr>
          <w:ilvl w:val="0"/>
          <w:numId w:val="31"/>
        </w:numPr>
        <w:ind w:left="502"/>
        <w:jc w:val="both"/>
        <w:rPr>
          <w:rFonts w:cstheme="minorHAnsi"/>
          <w:szCs w:val="24"/>
        </w:rPr>
      </w:pPr>
      <w:r w:rsidRPr="005E6FCA">
        <w:rPr>
          <w:rFonts w:cstheme="minorHAnsi"/>
          <w:szCs w:val="24"/>
        </w:rPr>
        <w:t>dodržiavanie zásad dobrých mravov a medziľudských vzťahov zo strany žiadateľa,</w:t>
      </w:r>
    </w:p>
    <w:p w14:paraId="7EACCB9C" w14:textId="77777777" w:rsidR="005E6FCA" w:rsidRDefault="005E6FCA" w:rsidP="00BF697D">
      <w:pPr>
        <w:pStyle w:val="Odsekzoznamu"/>
        <w:numPr>
          <w:ilvl w:val="0"/>
          <w:numId w:val="31"/>
        </w:numPr>
        <w:ind w:left="502"/>
        <w:jc w:val="both"/>
        <w:rPr>
          <w:rFonts w:cstheme="minorHAnsi"/>
          <w:szCs w:val="24"/>
        </w:rPr>
      </w:pPr>
      <w:r w:rsidRPr="005E6FCA">
        <w:rPr>
          <w:rFonts w:cstheme="minorHAnsi"/>
          <w:szCs w:val="24"/>
        </w:rPr>
        <w:lastRenderedPageBreak/>
        <w:t xml:space="preserve">skutočnosť, či žiadateľ má/nemá záväzky po lehote splatnosti voči obci/mestu a obecnými/mestskými organizáciám; obecnými/mestskými organizáciami sa rozumejú subjekty, ktoré zriadilo alebo založilo obec/mesto, </w:t>
      </w:r>
    </w:p>
    <w:p w14:paraId="7AB472A3" w14:textId="1D6B696A" w:rsidR="005E6FCA" w:rsidRDefault="005E6FCA" w:rsidP="00BF697D">
      <w:pPr>
        <w:pStyle w:val="Odsekzoznamu"/>
        <w:numPr>
          <w:ilvl w:val="0"/>
          <w:numId w:val="31"/>
        </w:numPr>
        <w:ind w:left="502"/>
        <w:jc w:val="both"/>
        <w:rPr>
          <w:rFonts w:cstheme="minorHAnsi"/>
          <w:szCs w:val="24"/>
        </w:rPr>
      </w:pPr>
      <w:r w:rsidRPr="005E6FCA">
        <w:rPr>
          <w:rFonts w:cstheme="minorHAnsi"/>
          <w:szCs w:val="24"/>
        </w:rPr>
        <w:t xml:space="preserve">skutočnosť, či žiadateľ je/nie je obcou/mestom považovaný za iného neplatiča; iným neplatičom sa rozumie fyzická osoba, voči ktorej </w:t>
      </w:r>
      <w:r>
        <w:rPr>
          <w:rFonts w:cstheme="minorHAnsi"/>
          <w:szCs w:val="24"/>
        </w:rPr>
        <w:t>obec/</w:t>
      </w:r>
      <w:r w:rsidRPr="005E6FCA">
        <w:rPr>
          <w:rFonts w:cstheme="minorHAnsi"/>
          <w:szCs w:val="24"/>
        </w:rPr>
        <w:t xml:space="preserve">mesto evidovalo pohľadávku po lehote splatnosti, ktorá nebola obci/mestu uhradená a mesto trvale upustilo od jej vymáhania, </w:t>
      </w:r>
    </w:p>
    <w:p w14:paraId="070A246B" w14:textId="00774591" w:rsidR="005E6FCA" w:rsidRPr="005E6FCA" w:rsidRDefault="005E6FCA" w:rsidP="00BF697D">
      <w:pPr>
        <w:pStyle w:val="Odsekzoznamu"/>
        <w:numPr>
          <w:ilvl w:val="0"/>
          <w:numId w:val="31"/>
        </w:numPr>
        <w:ind w:left="502"/>
        <w:jc w:val="both"/>
        <w:rPr>
          <w:rFonts w:cstheme="minorHAnsi"/>
          <w:szCs w:val="24"/>
        </w:rPr>
      </w:pPr>
      <w:r w:rsidRPr="005E6FCA">
        <w:rPr>
          <w:rFonts w:cstheme="minorHAnsi"/>
          <w:szCs w:val="24"/>
        </w:rPr>
        <w:t>doba evidencie žiadosti o nájomný byt a ďalšie.</w:t>
      </w:r>
    </w:p>
    <w:p w14:paraId="4F5B0F74" w14:textId="6D5BCB84" w:rsidR="005E6FCA" w:rsidRPr="005E6FCA" w:rsidRDefault="005E6FCA" w:rsidP="00BF697D">
      <w:pPr>
        <w:jc w:val="both"/>
        <w:rPr>
          <w:rFonts w:cstheme="minorHAnsi"/>
          <w:szCs w:val="24"/>
        </w:rPr>
      </w:pPr>
      <w:r w:rsidRPr="005E6FCA">
        <w:rPr>
          <w:rFonts w:cstheme="minorHAnsi"/>
          <w:szCs w:val="24"/>
        </w:rPr>
        <w:t xml:space="preserve">Cieľom stanovenia kritérií je umožnenie čo najobjektívnejšieho výberu budúceho nájomcu. </w:t>
      </w:r>
      <w:r>
        <w:rPr>
          <w:rFonts w:cstheme="minorHAnsi"/>
          <w:szCs w:val="24"/>
        </w:rPr>
        <w:t>F</w:t>
      </w:r>
      <w:r w:rsidRPr="005E6FCA">
        <w:rPr>
          <w:rFonts w:cstheme="minorHAnsi"/>
          <w:szCs w:val="24"/>
        </w:rPr>
        <w:t>ormalizovaným spôsobom hodnotenia relevantných kritérií môže byť aj form</w:t>
      </w:r>
      <w:r w:rsidR="009D4652">
        <w:rPr>
          <w:rFonts w:cstheme="minorHAnsi"/>
          <w:szCs w:val="24"/>
        </w:rPr>
        <w:t>a</w:t>
      </w:r>
      <w:r w:rsidRPr="005E6FCA">
        <w:rPr>
          <w:rFonts w:cstheme="minorHAnsi"/>
          <w:szCs w:val="24"/>
        </w:rPr>
        <w:t xml:space="preserve"> bodového dotazníka. Tento spôsob by mal zároveň minimalizovať subjektívne aspekty hodnotenia. Rozsah a podoba sa môže v jednotlivých obciach líšiť. Pokiaľ si obec takéto kritériá stanoví a následne vypracuje bodový dotazník, je vhodné ich zverejniť.</w:t>
      </w:r>
    </w:p>
    <w:p w14:paraId="48CA1C13" w14:textId="77777777" w:rsidR="00AD47C6" w:rsidRPr="009D32E3" w:rsidRDefault="00AD47C6" w:rsidP="00BF697D">
      <w:pPr>
        <w:jc w:val="both"/>
        <w:rPr>
          <w:rFonts w:cstheme="minorHAnsi"/>
          <w:szCs w:val="24"/>
        </w:rPr>
      </w:pPr>
    </w:p>
    <w:p w14:paraId="6A88CF85" w14:textId="248FD3E3" w:rsidR="001A4BAF" w:rsidRPr="00BF697D" w:rsidRDefault="009D32E3" w:rsidP="00BF697D">
      <w:pPr>
        <w:pStyle w:val="Odsekzoznamu"/>
        <w:numPr>
          <w:ilvl w:val="0"/>
          <w:numId w:val="12"/>
        </w:numPr>
        <w:ind w:left="426" w:hanging="502"/>
        <w:jc w:val="both"/>
        <w:rPr>
          <w:rFonts w:eastAsiaTheme="majorEastAsia" w:cstheme="minorHAnsi"/>
          <w:color w:val="2E74B5" w:themeColor="accent1" w:themeShade="BF"/>
          <w:sz w:val="32"/>
          <w:szCs w:val="32"/>
        </w:rPr>
      </w:pPr>
      <w:r w:rsidRPr="00BF697D">
        <w:rPr>
          <w:rFonts w:eastAsiaTheme="majorEastAsia" w:cstheme="minorHAnsi"/>
          <w:color w:val="2E74B5" w:themeColor="accent1" w:themeShade="BF"/>
          <w:sz w:val="32"/>
          <w:szCs w:val="32"/>
        </w:rPr>
        <w:t>Požiadavky na nájomnú zmluvu</w:t>
      </w:r>
    </w:p>
    <w:p w14:paraId="40ECB295" w14:textId="72582DE6" w:rsidR="009D32E3" w:rsidRPr="009D32E3" w:rsidRDefault="009D32E3" w:rsidP="00BF697D">
      <w:pPr>
        <w:pStyle w:val="Odsekzoznamu"/>
        <w:numPr>
          <w:ilvl w:val="0"/>
          <w:numId w:val="27"/>
        </w:numPr>
        <w:tabs>
          <w:tab w:val="left" w:pos="5580"/>
        </w:tabs>
        <w:spacing w:before="240"/>
        <w:ind w:left="284" w:hanging="284"/>
        <w:jc w:val="both"/>
        <w:rPr>
          <w:rFonts w:cstheme="minorHAnsi"/>
          <w:szCs w:val="24"/>
        </w:rPr>
      </w:pPr>
      <w:r w:rsidRPr="009D32E3">
        <w:rPr>
          <w:rFonts w:cstheme="minorHAnsi"/>
          <w:szCs w:val="24"/>
        </w:rPr>
        <w:t xml:space="preserve">nájomnú zmluvu uzavrie </w:t>
      </w:r>
      <w:r>
        <w:rPr>
          <w:rFonts w:cstheme="minorHAnsi"/>
          <w:szCs w:val="24"/>
        </w:rPr>
        <w:t xml:space="preserve">žiadateľ/prijímateľ s oprávnenou osobou </w:t>
      </w:r>
      <w:r w:rsidRPr="009D32E3">
        <w:rPr>
          <w:rFonts w:cstheme="minorHAnsi"/>
          <w:szCs w:val="24"/>
        </w:rPr>
        <w:t>na dobu určitú, najviac na 3 roky, resp. 10 rokov (ak je nájomcom osoba so zdravotným postihnutím),</w:t>
      </w:r>
      <w:r>
        <w:rPr>
          <w:rFonts w:cstheme="minorHAnsi"/>
          <w:szCs w:val="24"/>
        </w:rPr>
        <w:t xml:space="preserve"> nájomnú zmluvu je možné opakovane predĺžiť</w:t>
      </w:r>
    </w:p>
    <w:p w14:paraId="33AD49E0" w14:textId="5FEF45C0" w:rsidR="009D32E3" w:rsidRPr="009D32E3" w:rsidRDefault="009D32E3" w:rsidP="00BF697D">
      <w:pPr>
        <w:pStyle w:val="Odsekzoznamu"/>
        <w:numPr>
          <w:ilvl w:val="0"/>
          <w:numId w:val="27"/>
        </w:numPr>
        <w:tabs>
          <w:tab w:val="left" w:pos="5580"/>
        </w:tabs>
        <w:ind w:left="284" w:hanging="284"/>
        <w:jc w:val="both"/>
        <w:rPr>
          <w:rFonts w:cstheme="minorHAnsi"/>
          <w:szCs w:val="24"/>
        </w:rPr>
      </w:pPr>
      <w:r w:rsidRPr="009D32E3">
        <w:rPr>
          <w:rFonts w:cstheme="minorHAnsi"/>
          <w:szCs w:val="24"/>
        </w:rPr>
        <w:t>nájomná zmluva má písomnú formu a obsahuje najmä začiatok nájmu, dobu nájmu, výšku mesačného nájomného, podmienky opakovaného uzavretia nájomnej zmluvy, výšku úhrady za plnenia spojené s užívaním nájomného bytu alebo spôsob ich výpočtu, opis stavu bytu a príslušenstva bytu, podmienky na zachovanie pôvodného stavu a vybavenia bytu, skončenie nájmu, spôsob a lehotu vysporiadania finančnej zábezpeky, ak je súčasťou nájomnej zmluvy dohoda o finančnej zábezpeke, zoznam osôb žijúcich v byte spolu s nájomcom, vyhlásenie nájomcu, že nájomný byt alebo jeho časť nie je oprávnený prenechať do podnájmu tretej osobe,</w:t>
      </w:r>
    </w:p>
    <w:p w14:paraId="19F7DE29" w14:textId="2F5D0E15" w:rsidR="009D32E3" w:rsidRPr="009D32E3" w:rsidRDefault="009D32E3" w:rsidP="00BF697D">
      <w:pPr>
        <w:pStyle w:val="Odsekzoznamu"/>
        <w:numPr>
          <w:ilvl w:val="0"/>
          <w:numId w:val="27"/>
        </w:numPr>
        <w:tabs>
          <w:tab w:val="left" w:pos="5580"/>
        </w:tabs>
        <w:ind w:left="284" w:hanging="284"/>
        <w:jc w:val="both"/>
        <w:rPr>
          <w:rFonts w:cstheme="minorHAnsi"/>
          <w:szCs w:val="24"/>
        </w:rPr>
      </w:pPr>
      <w:r w:rsidRPr="009D32E3">
        <w:rPr>
          <w:rFonts w:cstheme="minorHAnsi"/>
          <w:szCs w:val="24"/>
        </w:rPr>
        <w:t>v nájomnej zmluve sa upraví právo nájomcu na opakované uzavretie nájomnej zmluvy, o čom je nájomca informovaný minimálne tri mesiace pred dohodnutým termínom skončenia nájmu,</w:t>
      </w:r>
    </w:p>
    <w:p w14:paraId="55127ED2" w14:textId="6B1DBD0B" w:rsidR="009D32E3" w:rsidRPr="009D32E3" w:rsidRDefault="009D32E3" w:rsidP="00BF697D">
      <w:pPr>
        <w:pStyle w:val="Odsekzoznamu"/>
        <w:numPr>
          <w:ilvl w:val="0"/>
          <w:numId w:val="27"/>
        </w:numPr>
        <w:tabs>
          <w:tab w:val="left" w:pos="5580"/>
        </w:tabs>
        <w:ind w:left="284" w:hanging="284"/>
        <w:jc w:val="both"/>
        <w:rPr>
          <w:rFonts w:cstheme="minorHAnsi"/>
          <w:szCs w:val="24"/>
        </w:rPr>
      </w:pPr>
      <w:r w:rsidRPr="009D32E3">
        <w:rPr>
          <w:rFonts w:cstheme="minorHAnsi"/>
          <w:szCs w:val="24"/>
        </w:rPr>
        <w:t xml:space="preserve">nájomná zmluva môže obsahovať aj dohodu o finančnej zábezpeke (finančná zábezpeka slúži na zabezpečenie platenia dohodnutého nájomného, dohodnutých úhrad spojených s užívaním nájomného bytu a nepoškodzovania užívaného nájomného bytu), ktorá nesmie presiahnuť výšku maximálneho </w:t>
      </w:r>
      <w:r>
        <w:rPr>
          <w:rFonts w:cstheme="minorHAnsi"/>
          <w:szCs w:val="24"/>
        </w:rPr>
        <w:t>troj</w:t>
      </w:r>
      <w:r w:rsidRPr="009D32E3">
        <w:rPr>
          <w:rFonts w:cstheme="minorHAnsi"/>
          <w:szCs w:val="24"/>
        </w:rPr>
        <w:t>mesačného nájomného a lehota na zloženie finančnej zábezpeky nájomcom nesmie byť dlhšia ako 30 kalendárnych dní pred podpisom nájomnej zmluvy (ak nedôjde k uzavretiu nájomnej zmluvy, je žiadateľ povinný už zloženú finančnú zábezpeku bezodkladne vrátiť),</w:t>
      </w:r>
    </w:p>
    <w:p w14:paraId="41981368" w14:textId="6F75366D" w:rsidR="009D32E3" w:rsidRDefault="009D32E3" w:rsidP="00BF697D">
      <w:pPr>
        <w:pStyle w:val="Odsekzoznamu"/>
        <w:numPr>
          <w:ilvl w:val="0"/>
          <w:numId w:val="27"/>
        </w:numPr>
        <w:tabs>
          <w:tab w:val="left" w:pos="5580"/>
        </w:tabs>
        <w:ind w:left="284" w:hanging="284"/>
        <w:jc w:val="both"/>
        <w:rPr>
          <w:rFonts w:cstheme="minorHAnsi"/>
          <w:szCs w:val="24"/>
        </w:rPr>
      </w:pPr>
      <w:r w:rsidRPr="009D32E3">
        <w:rPr>
          <w:rFonts w:cstheme="minorHAnsi"/>
          <w:szCs w:val="24"/>
        </w:rPr>
        <w:t>v súvislosti s uzavretím nájomnej zmluvy nesmie</w:t>
      </w:r>
      <w:r>
        <w:rPr>
          <w:rFonts w:cstheme="minorHAnsi"/>
          <w:szCs w:val="24"/>
        </w:rPr>
        <w:t xml:space="preserve"> vlastník nájomného bytu</w:t>
      </w:r>
      <w:r w:rsidRPr="009D32E3">
        <w:rPr>
          <w:rFonts w:cstheme="minorHAnsi"/>
          <w:szCs w:val="24"/>
        </w:rPr>
        <w:t xml:space="preserve"> požadovať od nájomcu iné finančné plnenia, ktoré priamo nesúvisia s užívaním nájomného bytu,</w:t>
      </w:r>
    </w:p>
    <w:p w14:paraId="7EB5E69C" w14:textId="3BDA3D5B" w:rsidR="00CB30DA" w:rsidRPr="00CB30DA" w:rsidRDefault="00CB30DA" w:rsidP="00BF697D">
      <w:pPr>
        <w:pStyle w:val="Odsekzoznamu"/>
        <w:numPr>
          <w:ilvl w:val="0"/>
          <w:numId w:val="27"/>
        </w:numPr>
        <w:tabs>
          <w:tab w:val="left" w:pos="5580"/>
        </w:tabs>
        <w:ind w:left="284" w:hanging="284"/>
        <w:jc w:val="both"/>
        <w:rPr>
          <w:rFonts w:cstheme="minorHAnsi"/>
          <w:szCs w:val="24"/>
        </w:rPr>
      </w:pPr>
      <w:r>
        <w:rPr>
          <w:rFonts w:cstheme="minorHAnsi"/>
          <w:szCs w:val="24"/>
        </w:rPr>
        <w:t>n</w:t>
      </w:r>
      <w:r w:rsidRPr="00CB30DA">
        <w:rPr>
          <w:rFonts w:cstheme="minorHAnsi"/>
          <w:szCs w:val="24"/>
        </w:rPr>
        <w:t xml:space="preserve">ájomná zmluva musí obsahovať zoznam osôb žijúcich v byte s nájomcom. Práva fyzických osôb, ktoré v byte žijú, sú odvodené od rozsahu práv nájomcu. Pri overovaní plnenia podmienok pre poskytnutie nájomného bytu sa zohľadňuje aj príjem </w:t>
      </w:r>
      <w:r w:rsidR="00CD2129">
        <w:rPr>
          <w:rFonts w:cstheme="minorHAnsi"/>
          <w:szCs w:val="24"/>
        </w:rPr>
        <w:t>osôb žijúcich v byte s nájomcom,</w:t>
      </w:r>
    </w:p>
    <w:p w14:paraId="3CC072CC" w14:textId="3E3A60F6" w:rsidR="009D32E3" w:rsidRDefault="009D32E3" w:rsidP="00BF697D">
      <w:pPr>
        <w:pStyle w:val="Odsekzoznamu"/>
        <w:numPr>
          <w:ilvl w:val="0"/>
          <w:numId w:val="27"/>
        </w:numPr>
        <w:tabs>
          <w:tab w:val="left" w:pos="5580"/>
        </w:tabs>
        <w:ind w:left="284" w:hanging="284"/>
        <w:jc w:val="both"/>
        <w:rPr>
          <w:rFonts w:cstheme="minorHAnsi"/>
          <w:szCs w:val="24"/>
        </w:rPr>
      </w:pPr>
      <w:r w:rsidRPr="009D32E3">
        <w:rPr>
          <w:rFonts w:cstheme="minorHAnsi"/>
          <w:szCs w:val="24"/>
        </w:rPr>
        <w:t xml:space="preserve">vlastník nájomného bytu obstaraného z </w:t>
      </w:r>
      <w:r>
        <w:rPr>
          <w:rFonts w:cstheme="minorHAnsi"/>
          <w:szCs w:val="24"/>
        </w:rPr>
        <w:t>NFP</w:t>
      </w:r>
      <w:r w:rsidRPr="009D32E3">
        <w:rPr>
          <w:rFonts w:cstheme="minorHAnsi"/>
          <w:szCs w:val="24"/>
        </w:rPr>
        <w:t xml:space="preserve"> je povinný umožniť po predchádzajúcom oznámení, na nevyhnutný čas a v nevyhnutnej miere, vstup do nájomných bytov zamestnancom </w:t>
      </w:r>
      <w:r>
        <w:rPr>
          <w:rFonts w:cstheme="minorHAnsi"/>
          <w:szCs w:val="24"/>
        </w:rPr>
        <w:t>poskytovateľa</w:t>
      </w:r>
      <w:r w:rsidRPr="009D32E3">
        <w:rPr>
          <w:rFonts w:cstheme="minorHAnsi"/>
          <w:szCs w:val="24"/>
        </w:rPr>
        <w:t xml:space="preserve">, </w:t>
      </w:r>
      <w:r>
        <w:rPr>
          <w:rFonts w:cstheme="minorHAnsi"/>
          <w:szCs w:val="24"/>
        </w:rPr>
        <w:t xml:space="preserve">resp. </w:t>
      </w:r>
      <w:r w:rsidRPr="009D32E3">
        <w:rPr>
          <w:rFonts w:cstheme="minorHAnsi"/>
          <w:szCs w:val="24"/>
        </w:rPr>
        <w:t>iných kontrolných orgánov s cieľom vykonať kontrolu technického stavu nájomného bytu, pričom táto povinnosť platí aj pre nájomcu a osoby, ktoré nájomný byt užívajú na základe nájomnej zmluvy.</w:t>
      </w:r>
    </w:p>
    <w:p w14:paraId="60A693D5" w14:textId="77777777" w:rsidR="00196B3B" w:rsidRDefault="00196B3B" w:rsidP="00BF697D">
      <w:pPr>
        <w:pStyle w:val="Odsekzoznamu"/>
        <w:tabs>
          <w:tab w:val="left" w:pos="5580"/>
        </w:tabs>
        <w:jc w:val="both"/>
        <w:rPr>
          <w:rFonts w:cstheme="minorHAnsi"/>
          <w:szCs w:val="24"/>
        </w:rPr>
      </w:pPr>
    </w:p>
    <w:p w14:paraId="298AFD80" w14:textId="2F119C15" w:rsidR="00D70B13" w:rsidRDefault="00D70B13" w:rsidP="00BF697D">
      <w:pPr>
        <w:pStyle w:val="Odsekzoznamu"/>
        <w:tabs>
          <w:tab w:val="left" w:pos="5580"/>
        </w:tabs>
        <w:jc w:val="both"/>
        <w:rPr>
          <w:rFonts w:cstheme="minorHAnsi"/>
          <w:szCs w:val="24"/>
        </w:rPr>
      </w:pPr>
    </w:p>
    <w:p w14:paraId="519DA540" w14:textId="77777777" w:rsidR="009D4652" w:rsidRPr="009D32E3" w:rsidRDefault="009D4652" w:rsidP="00BF697D">
      <w:pPr>
        <w:pStyle w:val="Odsekzoznamu"/>
        <w:tabs>
          <w:tab w:val="left" w:pos="5580"/>
        </w:tabs>
        <w:jc w:val="both"/>
        <w:rPr>
          <w:rFonts w:cstheme="minorHAnsi"/>
          <w:szCs w:val="24"/>
        </w:rPr>
      </w:pPr>
    </w:p>
    <w:p w14:paraId="00C1BC6C" w14:textId="2219C46D" w:rsidR="00196B3B" w:rsidRPr="00BF697D" w:rsidRDefault="00196B3B" w:rsidP="00BF697D">
      <w:pPr>
        <w:pStyle w:val="Odsekzoznamu"/>
        <w:numPr>
          <w:ilvl w:val="0"/>
          <w:numId w:val="12"/>
        </w:numPr>
        <w:ind w:left="426" w:hanging="502"/>
        <w:jc w:val="both"/>
        <w:rPr>
          <w:rFonts w:eastAsiaTheme="majorEastAsia" w:cstheme="minorHAnsi"/>
          <w:color w:val="2E74B5" w:themeColor="accent1" w:themeShade="BF"/>
          <w:sz w:val="32"/>
          <w:szCs w:val="32"/>
        </w:rPr>
      </w:pPr>
      <w:r w:rsidRPr="00BF697D">
        <w:rPr>
          <w:rFonts w:eastAsiaTheme="majorEastAsia" w:cstheme="minorHAnsi"/>
          <w:color w:val="2E74B5" w:themeColor="accent1" w:themeShade="BF"/>
          <w:sz w:val="32"/>
          <w:szCs w:val="32"/>
        </w:rPr>
        <w:t>Určenie výšky nájomného a výšky úhrady za plnenia spojené s užívaním bytu</w:t>
      </w:r>
    </w:p>
    <w:p w14:paraId="391E769D" w14:textId="01F84515" w:rsidR="00CB30DA" w:rsidRPr="00CB30DA" w:rsidRDefault="00CB30DA" w:rsidP="00BF697D">
      <w:pPr>
        <w:ind w:left="-76"/>
        <w:jc w:val="both"/>
        <w:rPr>
          <w:rFonts w:cstheme="minorHAnsi"/>
          <w:szCs w:val="24"/>
          <w:u w:val="single"/>
        </w:rPr>
      </w:pPr>
      <w:r w:rsidRPr="00CB30DA">
        <w:rPr>
          <w:rFonts w:cstheme="minorHAnsi"/>
          <w:szCs w:val="24"/>
          <w:u w:val="single"/>
        </w:rPr>
        <w:t xml:space="preserve">Určenie výšky nájomného </w:t>
      </w:r>
    </w:p>
    <w:p w14:paraId="5DFB9293" w14:textId="09A925DE" w:rsidR="00196B3B" w:rsidRPr="00196B3B" w:rsidRDefault="00196B3B" w:rsidP="00BF697D">
      <w:pPr>
        <w:ind w:left="-76"/>
        <w:jc w:val="both"/>
        <w:rPr>
          <w:rFonts w:cstheme="minorHAnsi"/>
          <w:szCs w:val="24"/>
        </w:rPr>
      </w:pPr>
      <w:r w:rsidRPr="00196B3B">
        <w:rPr>
          <w:rFonts w:cstheme="minorHAnsi"/>
          <w:szCs w:val="24"/>
        </w:rPr>
        <w:t>V nájomnej zmluve musí byť tiež uvedená výška nájomného ako odplaty za užívanie bytu. Jeho výška by mala byť stanovená konkrétnou sumou. Nájomné sa platí mesačne</w:t>
      </w:r>
      <w:r>
        <w:rPr>
          <w:rFonts w:cstheme="minorHAnsi"/>
          <w:szCs w:val="24"/>
        </w:rPr>
        <w:t xml:space="preserve"> </w:t>
      </w:r>
      <w:r w:rsidRPr="00196B3B">
        <w:rPr>
          <w:rFonts w:cstheme="minorHAnsi"/>
          <w:szCs w:val="24"/>
        </w:rPr>
        <w:t xml:space="preserve">po celú dobu trvania nájmu. </w:t>
      </w:r>
      <w:r>
        <w:rPr>
          <w:rFonts w:cstheme="minorHAnsi"/>
          <w:szCs w:val="24"/>
        </w:rPr>
        <w:t>O</w:t>
      </w:r>
      <w:r w:rsidRPr="00196B3B">
        <w:rPr>
          <w:rFonts w:cstheme="minorHAnsi"/>
          <w:szCs w:val="24"/>
        </w:rPr>
        <w:t>dporúčame dohodnúť si v nájomnej zmluve platenie nájomného mesačne dopredu.</w:t>
      </w:r>
    </w:p>
    <w:p w14:paraId="1732FF53" w14:textId="2129B593" w:rsidR="00196B3B" w:rsidRPr="00196B3B" w:rsidRDefault="00196B3B" w:rsidP="00BF697D">
      <w:pPr>
        <w:ind w:left="-76"/>
        <w:jc w:val="both"/>
        <w:rPr>
          <w:rFonts w:cstheme="minorHAnsi"/>
          <w:szCs w:val="24"/>
        </w:rPr>
      </w:pPr>
      <w:r w:rsidRPr="00196B3B">
        <w:rPr>
          <w:rFonts w:cstheme="minorHAnsi"/>
          <w:szCs w:val="24"/>
        </w:rPr>
        <w:t xml:space="preserve">Minimálnu výšku nájomného nepriamo stanovuje zákon o dotáciách, a to vo výške </w:t>
      </w:r>
      <w:r w:rsidRPr="00196B3B">
        <w:rPr>
          <w:rFonts w:cstheme="minorHAnsi"/>
          <w:b/>
          <w:szCs w:val="24"/>
        </w:rPr>
        <w:t>0,5 % ročne</w:t>
      </w:r>
      <w:r w:rsidRPr="00196B3B">
        <w:rPr>
          <w:rFonts w:cstheme="minorHAnsi"/>
          <w:szCs w:val="24"/>
        </w:rPr>
        <w:t xml:space="preserve"> z obstarávacích nákladov nájomného bytu</w:t>
      </w:r>
      <w:r w:rsidR="00CD2129">
        <w:rPr>
          <w:rFonts w:cstheme="minorHAnsi"/>
          <w:szCs w:val="24"/>
        </w:rPr>
        <w:t>.</w:t>
      </w:r>
      <w:r w:rsidRPr="00196B3B">
        <w:rPr>
          <w:rFonts w:cstheme="minorHAnsi"/>
          <w:szCs w:val="24"/>
        </w:rPr>
        <w:t xml:space="preserve"> Podľa § 18 ods. 2 a 3 zákona o dotáciách totiž vlastník nájomného bytu v súvislosti so starostlivosťou o podporené nájomné byty tvorí z vyberaného nájomného osobitný rezervný fond, resp. fond prevádzky, údržby a opráv bytovej budovy.</w:t>
      </w:r>
    </w:p>
    <w:p w14:paraId="7615A07F" w14:textId="77777777" w:rsidR="00196B3B" w:rsidRDefault="00196B3B" w:rsidP="00BF697D">
      <w:pPr>
        <w:ind w:left="-76"/>
        <w:jc w:val="both"/>
        <w:rPr>
          <w:rFonts w:cstheme="minorHAnsi"/>
          <w:szCs w:val="24"/>
        </w:rPr>
      </w:pPr>
      <w:r w:rsidRPr="00196B3B">
        <w:rPr>
          <w:rFonts w:cstheme="minorHAnsi"/>
          <w:szCs w:val="24"/>
        </w:rPr>
        <w:t xml:space="preserve">Maximálna výška nájomného je stanovená Opatrením MF SR. Podľa tohto opatrenia sa </w:t>
      </w:r>
      <w:r w:rsidRPr="00CB30DA">
        <w:rPr>
          <w:rFonts w:cstheme="minorHAnsi"/>
          <w:b/>
          <w:szCs w:val="24"/>
        </w:rPr>
        <w:t>maximálna výška ročného nájomného určuje vo výške 5 %</w:t>
      </w:r>
      <w:r w:rsidRPr="00196B3B">
        <w:rPr>
          <w:rFonts w:cstheme="minorHAnsi"/>
          <w:szCs w:val="24"/>
        </w:rPr>
        <w:t xml:space="preserve"> z obstarávacej ceny bytu. </w:t>
      </w:r>
    </w:p>
    <w:p w14:paraId="683C2824" w14:textId="240DA7B8" w:rsidR="00196B3B" w:rsidRPr="00196B3B" w:rsidRDefault="00196B3B" w:rsidP="00BF697D">
      <w:pPr>
        <w:ind w:left="-76"/>
        <w:jc w:val="both"/>
        <w:rPr>
          <w:rFonts w:cstheme="minorHAnsi"/>
          <w:szCs w:val="24"/>
        </w:rPr>
      </w:pPr>
      <w:r w:rsidRPr="00196B3B">
        <w:rPr>
          <w:rFonts w:cstheme="minorHAnsi"/>
          <w:szCs w:val="24"/>
        </w:rPr>
        <w:t>Čo sa rozumie obstarávacou cenou, ustanovuje § 2 ods. 2 Opatrenia MF SR.</w:t>
      </w:r>
      <w:r>
        <w:rPr>
          <w:rFonts w:cstheme="minorHAnsi"/>
          <w:szCs w:val="24"/>
        </w:rPr>
        <w:t xml:space="preserve"> </w:t>
      </w:r>
      <w:r w:rsidRPr="00196B3B">
        <w:rPr>
          <w:rFonts w:cstheme="minorHAnsi"/>
          <w:szCs w:val="24"/>
        </w:rPr>
        <w:t>V závislosti od spôsobu obstarania sa do obstarávacej ceny bytu na účely tohto opatrenia</w:t>
      </w:r>
      <w:r>
        <w:rPr>
          <w:rFonts w:cstheme="minorHAnsi"/>
          <w:szCs w:val="24"/>
        </w:rPr>
        <w:t xml:space="preserve"> </w:t>
      </w:r>
      <w:r w:rsidRPr="00196B3B">
        <w:rPr>
          <w:rFonts w:cstheme="minorHAnsi"/>
          <w:szCs w:val="24"/>
        </w:rPr>
        <w:t>započítava</w:t>
      </w:r>
      <w:r>
        <w:rPr>
          <w:rFonts w:cstheme="minorHAnsi"/>
          <w:szCs w:val="24"/>
        </w:rPr>
        <w:t>:</w:t>
      </w:r>
    </w:p>
    <w:p w14:paraId="42CD08BF" w14:textId="38FF6B60" w:rsidR="00196B3B" w:rsidRPr="00196B3B" w:rsidRDefault="00196B3B" w:rsidP="00BF697D">
      <w:pPr>
        <w:pStyle w:val="Odsekzoznamu"/>
        <w:numPr>
          <w:ilvl w:val="0"/>
          <w:numId w:val="37"/>
        </w:numPr>
        <w:jc w:val="both"/>
        <w:rPr>
          <w:rFonts w:cstheme="minorHAnsi"/>
          <w:szCs w:val="24"/>
        </w:rPr>
      </w:pPr>
      <w:r w:rsidRPr="00196B3B">
        <w:rPr>
          <w:rFonts w:cstheme="minorHAnsi"/>
          <w:szCs w:val="24"/>
        </w:rPr>
        <w:t>pri výstavbe bytového domu cena stavby, cena projektovej dokumentácie a cena inžinierskych činností súvisiacich s prípravou a zhotovením stavby,</w:t>
      </w:r>
    </w:p>
    <w:p w14:paraId="4ED54F3E" w14:textId="08CC9590" w:rsidR="00196B3B" w:rsidRPr="00196B3B" w:rsidRDefault="00196B3B" w:rsidP="00BF697D">
      <w:pPr>
        <w:pStyle w:val="Odsekzoznamu"/>
        <w:numPr>
          <w:ilvl w:val="0"/>
          <w:numId w:val="37"/>
        </w:numPr>
        <w:jc w:val="both"/>
        <w:rPr>
          <w:rFonts w:cstheme="minorHAnsi"/>
          <w:szCs w:val="24"/>
        </w:rPr>
      </w:pPr>
      <w:r w:rsidRPr="00196B3B">
        <w:rPr>
          <w:rFonts w:cstheme="minorHAnsi"/>
          <w:szCs w:val="24"/>
        </w:rPr>
        <w:t>pri prestavbe nebytovej stavby na bytový dom cena prestavby, cena projektovej dokumentácie</w:t>
      </w:r>
    </w:p>
    <w:p w14:paraId="684DDEC7" w14:textId="77777777" w:rsidR="00196B3B" w:rsidRPr="00196B3B" w:rsidRDefault="00196B3B" w:rsidP="00BF697D">
      <w:pPr>
        <w:pStyle w:val="Odsekzoznamu"/>
        <w:ind w:left="644"/>
        <w:jc w:val="both"/>
        <w:rPr>
          <w:rFonts w:cstheme="minorHAnsi"/>
          <w:szCs w:val="24"/>
        </w:rPr>
      </w:pPr>
      <w:r w:rsidRPr="00196B3B">
        <w:rPr>
          <w:rFonts w:cstheme="minorHAnsi"/>
          <w:szCs w:val="24"/>
        </w:rPr>
        <w:t>a cena inžinierskych činností spojených s prípravou a prestavbou,</w:t>
      </w:r>
    </w:p>
    <w:p w14:paraId="57904111" w14:textId="7E7A6957" w:rsidR="00196B3B" w:rsidRPr="00CB30DA" w:rsidRDefault="00196B3B" w:rsidP="00BF697D">
      <w:pPr>
        <w:pStyle w:val="Odsekzoznamu"/>
        <w:numPr>
          <w:ilvl w:val="0"/>
          <w:numId w:val="37"/>
        </w:numPr>
        <w:jc w:val="both"/>
        <w:rPr>
          <w:rFonts w:cstheme="minorHAnsi"/>
          <w:szCs w:val="24"/>
        </w:rPr>
      </w:pPr>
      <w:r w:rsidRPr="00196B3B">
        <w:rPr>
          <w:rFonts w:cstheme="minorHAnsi"/>
          <w:szCs w:val="24"/>
        </w:rPr>
        <w:t>pri dostavbe rozostavanej stavby bytového domu kúpna cena rozostavanej stavby alebo finančné</w:t>
      </w:r>
      <w:r w:rsidR="00CB30DA">
        <w:rPr>
          <w:rFonts w:cstheme="minorHAnsi"/>
          <w:szCs w:val="24"/>
        </w:rPr>
        <w:t xml:space="preserve"> </w:t>
      </w:r>
      <w:r w:rsidRPr="00CB30DA">
        <w:rPr>
          <w:rFonts w:cstheme="minorHAnsi"/>
          <w:szCs w:val="24"/>
        </w:rPr>
        <w:t>prostriedky preinvestované na rozostavanej stavbe a cena podľa písmena a),</w:t>
      </w:r>
    </w:p>
    <w:p w14:paraId="1A79D88A" w14:textId="7A46318B" w:rsidR="00196B3B" w:rsidRPr="00CB30DA" w:rsidRDefault="00196B3B" w:rsidP="00BF697D">
      <w:pPr>
        <w:pStyle w:val="Odsekzoznamu"/>
        <w:numPr>
          <w:ilvl w:val="0"/>
          <w:numId w:val="37"/>
        </w:numPr>
        <w:jc w:val="both"/>
        <w:rPr>
          <w:rFonts w:cstheme="minorHAnsi"/>
          <w:szCs w:val="24"/>
        </w:rPr>
      </w:pPr>
      <w:r w:rsidRPr="00196B3B">
        <w:rPr>
          <w:rFonts w:cstheme="minorHAnsi"/>
          <w:szCs w:val="24"/>
        </w:rPr>
        <w:t>pri obstaraní bytu kúpou kúpna cena vrátane podielu na spoločných častiach a</w:t>
      </w:r>
      <w:r w:rsidR="00CB30DA">
        <w:rPr>
          <w:rFonts w:cstheme="minorHAnsi"/>
          <w:szCs w:val="24"/>
        </w:rPr>
        <w:t> </w:t>
      </w:r>
      <w:r w:rsidRPr="00196B3B">
        <w:rPr>
          <w:rFonts w:cstheme="minorHAnsi"/>
          <w:szCs w:val="24"/>
        </w:rPr>
        <w:t>spoločných</w:t>
      </w:r>
      <w:r w:rsidR="00CB30DA">
        <w:rPr>
          <w:rFonts w:cstheme="minorHAnsi"/>
          <w:szCs w:val="24"/>
        </w:rPr>
        <w:t xml:space="preserve"> </w:t>
      </w:r>
      <w:r w:rsidRPr="00CB30DA">
        <w:rPr>
          <w:rFonts w:cstheme="minorHAnsi"/>
          <w:szCs w:val="24"/>
        </w:rPr>
        <w:t>zariadeniach bytového domu, prípadne nebytovej budovy.</w:t>
      </w:r>
    </w:p>
    <w:p w14:paraId="51F23A27" w14:textId="77777777" w:rsidR="00196B3B" w:rsidRPr="00196B3B" w:rsidRDefault="00196B3B" w:rsidP="00BF697D">
      <w:pPr>
        <w:ind w:left="-76"/>
        <w:jc w:val="both"/>
        <w:rPr>
          <w:rFonts w:cstheme="minorHAnsi"/>
          <w:szCs w:val="24"/>
        </w:rPr>
      </w:pPr>
      <w:r w:rsidRPr="00196B3B">
        <w:rPr>
          <w:rFonts w:cstheme="minorHAnsi"/>
          <w:szCs w:val="24"/>
        </w:rPr>
        <w:t>V rámci týchto obmedzení sa výška nájomného ponecháva na dohodu medzi prenajímateľom a nájomcom. Vlastník nájomného bytu by mal pri stanovení výšky nájomného zohľadniť:</w:t>
      </w:r>
    </w:p>
    <w:p w14:paraId="54ADC534" w14:textId="0F9C2CEF" w:rsidR="00196B3B" w:rsidRPr="00CB30DA" w:rsidRDefault="00196B3B" w:rsidP="00BF697D">
      <w:pPr>
        <w:pStyle w:val="Odsekzoznamu"/>
        <w:numPr>
          <w:ilvl w:val="0"/>
          <w:numId w:val="27"/>
        </w:numPr>
        <w:jc w:val="both"/>
        <w:rPr>
          <w:rFonts w:cstheme="minorHAnsi"/>
          <w:szCs w:val="24"/>
        </w:rPr>
      </w:pPr>
      <w:r w:rsidRPr="00CB30DA">
        <w:rPr>
          <w:rFonts w:cstheme="minorHAnsi"/>
          <w:szCs w:val="24"/>
        </w:rPr>
        <w:t xml:space="preserve">svoje náklady na obstaranie nájomného bytu, </w:t>
      </w:r>
    </w:p>
    <w:p w14:paraId="29735055" w14:textId="7B16F487" w:rsidR="00196B3B" w:rsidRPr="00CB30DA" w:rsidRDefault="00196B3B" w:rsidP="00BF697D">
      <w:pPr>
        <w:pStyle w:val="Odsekzoznamu"/>
        <w:numPr>
          <w:ilvl w:val="0"/>
          <w:numId w:val="27"/>
        </w:numPr>
        <w:jc w:val="both"/>
        <w:rPr>
          <w:rFonts w:cstheme="minorHAnsi"/>
          <w:szCs w:val="24"/>
        </w:rPr>
      </w:pPr>
      <w:r w:rsidRPr="00CB30DA">
        <w:rPr>
          <w:rFonts w:cstheme="minorHAnsi"/>
          <w:szCs w:val="24"/>
        </w:rPr>
        <w:t>svoje náklady na údržbu, opravy a modernizáciu vybavenia bytu, keďže tieto náklady nie je možné hradiť z fondu prevádzky, údržby a opráv a</w:t>
      </w:r>
    </w:p>
    <w:p w14:paraId="47DD8AB2" w14:textId="16EA71C9" w:rsidR="00196B3B" w:rsidRPr="00CB30DA" w:rsidRDefault="00196B3B" w:rsidP="00BF697D">
      <w:pPr>
        <w:pStyle w:val="Odsekzoznamu"/>
        <w:numPr>
          <w:ilvl w:val="0"/>
          <w:numId w:val="27"/>
        </w:numPr>
        <w:jc w:val="both"/>
        <w:rPr>
          <w:rFonts w:cstheme="minorHAnsi"/>
          <w:szCs w:val="24"/>
        </w:rPr>
      </w:pPr>
      <w:r w:rsidRPr="00CB30DA">
        <w:rPr>
          <w:rFonts w:cstheme="minorHAnsi"/>
          <w:szCs w:val="24"/>
        </w:rPr>
        <w:t>určitú mieru finančnej rezervy, aby si zabezpečil zdroje potrebné na ďalší rozvoj nájomného bývania.</w:t>
      </w:r>
    </w:p>
    <w:p w14:paraId="191EA2E3" w14:textId="5C9C4A16" w:rsidR="00196B3B" w:rsidRDefault="00196B3B" w:rsidP="00BF697D">
      <w:pPr>
        <w:ind w:left="-76"/>
        <w:jc w:val="both"/>
        <w:rPr>
          <w:rFonts w:cstheme="minorHAnsi"/>
          <w:szCs w:val="24"/>
        </w:rPr>
      </w:pPr>
      <w:r w:rsidRPr="00196B3B">
        <w:rPr>
          <w:rFonts w:cstheme="minorHAnsi"/>
          <w:szCs w:val="24"/>
        </w:rPr>
        <w:t>Prenajímateľ môže pri stanovení výšky nájomného zohľadňovať aj sociálny status nájomcov.</w:t>
      </w:r>
    </w:p>
    <w:p w14:paraId="72D30F3F" w14:textId="24A7A218" w:rsidR="00CB30DA" w:rsidRPr="00CB30DA" w:rsidRDefault="00CB30DA" w:rsidP="00BF697D">
      <w:pPr>
        <w:ind w:left="-76"/>
        <w:jc w:val="both"/>
        <w:rPr>
          <w:rFonts w:cstheme="minorHAnsi"/>
          <w:szCs w:val="24"/>
          <w:u w:val="single"/>
        </w:rPr>
      </w:pPr>
      <w:r w:rsidRPr="00CB30DA">
        <w:rPr>
          <w:rFonts w:cstheme="minorHAnsi"/>
          <w:szCs w:val="24"/>
          <w:u w:val="single"/>
        </w:rPr>
        <w:t>Určenie výšky úhrady za plnenia spojené s užívaním bytu</w:t>
      </w:r>
    </w:p>
    <w:p w14:paraId="0E1D7C47" w14:textId="77777777" w:rsidR="00CB30DA" w:rsidRPr="00CB30DA" w:rsidRDefault="00CB30DA" w:rsidP="00BF697D">
      <w:pPr>
        <w:ind w:left="-76"/>
        <w:jc w:val="both"/>
        <w:rPr>
          <w:rFonts w:cstheme="minorHAnsi"/>
          <w:szCs w:val="24"/>
        </w:rPr>
      </w:pPr>
      <w:r w:rsidRPr="00CB30DA">
        <w:rPr>
          <w:rFonts w:cstheme="minorHAnsi"/>
          <w:szCs w:val="24"/>
        </w:rPr>
        <w:t>Nájomca je okrem nájomného povinný hradiť aj úhrady za plnenia spojené s užívaním bytu. Výška týchto úhrad musí byť v nájomnej zmluve stanovená konkrétnou sumou.</w:t>
      </w:r>
    </w:p>
    <w:p w14:paraId="1C35576F" w14:textId="77777777" w:rsidR="00CB30DA" w:rsidRPr="00CB30DA" w:rsidRDefault="00CB30DA" w:rsidP="00BF697D">
      <w:pPr>
        <w:ind w:left="-76"/>
        <w:jc w:val="both"/>
        <w:rPr>
          <w:rFonts w:cstheme="minorHAnsi"/>
          <w:szCs w:val="24"/>
        </w:rPr>
      </w:pPr>
      <w:r w:rsidRPr="00CB30DA">
        <w:rPr>
          <w:rFonts w:cstheme="minorHAnsi"/>
          <w:szCs w:val="24"/>
        </w:rPr>
        <w:t xml:space="preserve">Za plnenia spojené s užívaním bytu sa považujú (diaľkové) vykurovanie, dodávka teplej vody, osvetlenie a upratovanie spoločných priestorov domu, používanie výťahu, dodávka studenej vody, odvádzanie odpadových vôd kanalizáciou, používanie domovej práčovne a sušiarne, čistenie komínov, prípadne odvoz smetí a vybavenie bytu spoločnou televíznou anténou. Dodávku elektrickej energie, plynu, </w:t>
      </w:r>
      <w:r w:rsidRPr="00CB30DA">
        <w:rPr>
          <w:rFonts w:cstheme="minorHAnsi"/>
          <w:szCs w:val="24"/>
        </w:rPr>
        <w:lastRenderedPageBreak/>
        <w:t>internetu, televízneho či telefónneho pripojenia si obvykle nájomca zabezpečuje sám na základe zmluvného vzťahu s dodávateľom. Pokiaľ je však odberateľom vo vzťahu k ich dodávateľovi sám prenajímateľ, úhrady za tieto služby nájomcom sa považujú za úhrady za plnenia spojené s užívaním bytu.</w:t>
      </w:r>
    </w:p>
    <w:p w14:paraId="4567FFAC" w14:textId="77777777" w:rsidR="00CB30DA" w:rsidRPr="00CB30DA" w:rsidRDefault="00CB30DA" w:rsidP="00BF697D">
      <w:pPr>
        <w:ind w:left="-76"/>
        <w:jc w:val="both"/>
        <w:rPr>
          <w:rFonts w:cstheme="minorHAnsi"/>
          <w:szCs w:val="24"/>
        </w:rPr>
      </w:pPr>
      <w:r w:rsidRPr="00CB30DA">
        <w:rPr>
          <w:rFonts w:cstheme="minorHAnsi"/>
          <w:szCs w:val="24"/>
        </w:rPr>
        <w:t>Spotreba plnení spojených s užívaním bytu sa v čase mení a preto sa ich poskytnutie štandardne uhrádza formou preddavkov s následným vyúčtovaním konkrétnej spotreby. V nájomnej zmluve by preto mala byť uvedená výška týchto preddavkov ako aj spôsob, akým sa vykoná vyúčtovanie (a následná úhrada nedoplatku/vrátenie preplatku). Odporúčame preto pri odovzdaní nájomného bytu spísať preberací protokol s počiatočnými hodnotami meračov TÚV, SÚV, prípadne plynu a elektromera pre následné vyúčtovanie pri ukončení nájomného vzťahu a zamedzení nedoplatkov v budúcnosti.</w:t>
      </w:r>
    </w:p>
    <w:p w14:paraId="511F10E8" w14:textId="7EA2330B" w:rsidR="0098271E" w:rsidRDefault="00CB30DA" w:rsidP="00BF697D">
      <w:pPr>
        <w:ind w:left="-76"/>
        <w:jc w:val="both"/>
        <w:rPr>
          <w:rFonts w:cstheme="minorHAnsi"/>
          <w:szCs w:val="24"/>
        </w:rPr>
      </w:pPr>
      <w:r w:rsidRPr="00CB30DA">
        <w:rPr>
          <w:rFonts w:cstheme="minorHAnsi"/>
          <w:szCs w:val="24"/>
        </w:rPr>
        <w:t>Výška úhrad za plnenia spojených s užívaním bytu sa nezapočítava do nájomného a nevzťahuje sa na ňu regulácia podľa Opatrenia MF SR.</w:t>
      </w:r>
    </w:p>
    <w:p w14:paraId="2F8D1719" w14:textId="2D197BB5" w:rsidR="00BB777A" w:rsidRDefault="00BB777A" w:rsidP="00BF697D">
      <w:pPr>
        <w:ind w:left="-76"/>
        <w:jc w:val="both"/>
        <w:rPr>
          <w:rFonts w:cstheme="minorHAnsi"/>
          <w:szCs w:val="24"/>
        </w:rPr>
      </w:pPr>
    </w:p>
    <w:p w14:paraId="1A00EE3F" w14:textId="4E518252" w:rsidR="00BB777A" w:rsidRPr="00936350" w:rsidRDefault="00BB777A" w:rsidP="00BF697D">
      <w:pPr>
        <w:pStyle w:val="Odsekzoznamu"/>
        <w:numPr>
          <w:ilvl w:val="0"/>
          <w:numId w:val="12"/>
        </w:numPr>
        <w:ind w:left="426" w:hanging="502"/>
        <w:jc w:val="both"/>
        <w:rPr>
          <w:rFonts w:eastAsiaTheme="majorEastAsia" w:cstheme="minorHAnsi"/>
          <w:color w:val="2E74B5" w:themeColor="accent1" w:themeShade="BF"/>
          <w:sz w:val="32"/>
          <w:szCs w:val="32"/>
        </w:rPr>
      </w:pPr>
      <w:r>
        <w:rPr>
          <w:rFonts w:eastAsiaTheme="majorEastAsia" w:cstheme="minorHAnsi"/>
          <w:color w:val="2E74B5" w:themeColor="accent1" w:themeShade="BF"/>
          <w:sz w:val="32"/>
          <w:szCs w:val="32"/>
        </w:rPr>
        <w:t>Vysvetlenie k Testu lokálneho charakteru</w:t>
      </w:r>
    </w:p>
    <w:p w14:paraId="68A7D23C" w14:textId="4EC2E113" w:rsidR="00B20544" w:rsidRPr="00B20544" w:rsidRDefault="006028CC" w:rsidP="00B20544">
      <w:pPr>
        <w:shd w:val="clear" w:color="auto" w:fill="FFFFFF"/>
        <w:jc w:val="both"/>
        <w:rPr>
          <w:rFonts w:cstheme="minorHAnsi"/>
          <w:u w:val="single"/>
        </w:rPr>
      </w:pPr>
      <w:r>
        <w:t xml:space="preserve">Protimonopolný úrad SR vydal v roku 2019 Metodické usmernenie (Prípady nepodliehajúce pravidlám v oblasti štátnej pomoci), ktoré bolo následne v roku 2022 revidované. V zmysle pravidiel štátnej pomoci je definované, že štátnou pomocou </w:t>
      </w:r>
      <w:r w:rsidR="00B20544" w:rsidRPr="00642D63">
        <w:rPr>
          <w:rFonts w:cstheme="minorHAnsi"/>
          <w:u w:val="single"/>
        </w:rPr>
        <w:t>sú také opatrenia v prospech podnikov, vykonávajúcich hospodársku činnosť, ktoré spĺňajú kumulatívne kritériá (podmienky)</w:t>
      </w:r>
      <w:r w:rsidR="00B20544" w:rsidRPr="00642D63">
        <w:rPr>
          <w:rFonts w:cstheme="minorHAnsi"/>
        </w:rPr>
        <w:t xml:space="preserve"> uvedené v článku 107 ods. 1 </w:t>
      </w:r>
      <w:r w:rsidR="00B20544">
        <w:rPr>
          <w:rFonts w:cstheme="minorHAnsi"/>
        </w:rPr>
        <w:t xml:space="preserve">Zmluvy o fungovaní </w:t>
      </w:r>
      <w:r w:rsidR="00B20544" w:rsidRPr="00BA3C0B">
        <w:rPr>
          <w:rFonts w:cstheme="minorHAnsi"/>
        </w:rPr>
        <w:t>Európskej únie</w:t>
      </w:r>
      <w:r w:rsidR="00B20544">
        <w:rPr>
          <w:rFonts w:cstheme="minorHAnsi"/>
        </w:rPr>
        <w:t xml:space="preserve">, a to </w:t>
      </w:r>
      <w:r w:rsidR="00B20544" w:rsidRPr="00642D63">
        <w:rPr>
          <w:rFonts w:cstheme="minorHAnsi"/>
        </w:rPr>
        <w:t xml:space="preserve">prevod </w:t>
      </w:r>
      <w:r w:rsidR="00B20544">
        <w:rPr>
          <w:rFonts w:cstheme="minorHAnsi"/>
        </w:rPr>
        <w:t>štátnych (</w:t>
      </w:r>
      <w:r w:rsidR="00B20544" w:rsidRPr="00642D63">
        <w:rPr>
          <w:rFonts w:cstheme="minorHAnsi"/>
        </w:rPr>
        <w:t>verejných</w:t>
      </w:r>
      <w:r w:rsidR="00B20544">
        <w:rPr>
          <w:rFonts w:cstheme="minorHAnsi"/>
        </w:rPr>
        <w:t>)</w:t>
      </w:r>
      <w:r w:rsidR="00B20544" w:rsidRPr="00642D63">
        <w:rPr>
          <w:rFonts w:cstheme="minorHAnsi"/>
        </w:rPr>
        <w:t xml:space="preserve"> zdrojov a </w:t>
      </w:r>
      <w:proofErr w:type="spellStart"/>
      <w:r w:rsidR="00B20544" w:rsidRPr="00642D63">
        <w:rPr>
          <w:rFonts w:cstheme="minorHAnsi"/>
        </w:rPr>
        <w:t>pripísateľnosť</w:t>
      </w:r>
      <w:proofErr w:type="spellEnd"/>
      <w:r w:rsidR="00B20544" w:rsidRPr="00642D63">
        <w:rPr>
          <w:rFonts w:cstheme="minorHAnsi"/>
        </w:rPr>
        <w:t xml:space="preserve"> štátu, ekonomické zvýhodnenie </w:t>
      </w:r>
      <w:r w:rsidR="00B20544">
        <w:rPr>
          <w:rFonts w:cstheme="minorHAnsi"/>
        </w:rPr>
        <w:t>prijímateľa pomoci</w:t>
      </w:r>
      <w:r w:rsidR="00B20544" w:rsidRPr="00642D63">
        <w:rPr>
          <w:rFonts w:cstheme="minorHAnsi"/>
        </w:rPr>
        <w:t>, selektívna výhoda poskytnutej pomoci, narušenie hospodárskej súťaže alebo hrozba narušenia hospodárskej súťaže a vplyv na obchod medzi členskými štátmi. Ak nie je splnené aspoň jedno (hociktoré) kritérium, opatrenie nepredstavuje štátnu pomoc</w:t>
      </w:r>
      <w:r w:rsidR="00B20544">
        <w:rPr>
          <w:rFonts w:cstheme="minorHAnsi"/>
        </w:rPr>
        <w:t>, resp. minimálnu pomoc</w:t>
      </w:r>
      <w:r w:rsidR="00B20544" w:rsidRPr="00642D63">
        <w:rPr>
          <w:rFonts w:cstheme="minorHAnsi"/>
        </w:rPr>
        <w:t>. Ak sú kumulatívne splnené všetky kritériá, môže ísť o štátnu pomoc, resp. minimálnu pomoc.</w:t>
      </w:r>
    </w:p>
    <w:p w14:paraId="09393186" w14:textId="77777777" w:rsidR="00B20544" w:rsidRPr="00BA3C0B" w:rsidRDefault="00B20544" w:rsidP="00B20544">
      <w:pPr>
        <w:ind w:firstLine="708"/>
        <w:jc w:val="both"/>
        <w:rPr>
          <w:rFonts w:cstheme="minorHAnsi"/>
        </w:rPr>
      </w:pPr>
      <w:r w:rsidRPr="00BA3C0B">
        <w:rPr>
          <w:rFonts w:cstheme="minorHAnsi"/>
        </w:rPr>
        <w:t>Jedno z týchto kritérií tvorí posúdenie vplyvu (stačí aj potenciálneho) dotknutého opatrenia, alebo činnosti  na obchod medzi členskými štátmi EÚ, pričom jeho prítomnosť znamená, že opatrenie pomoci posilňuje postavenie podniku v porovnaní s inými podnikmi, ktoré si konkurujú v ob</w:t>
      </w:r>
      <w:r>
        <w:rPr>
          <w:rFonts w:cstheme="minorHAnsi"/>
        </w:rPr>
        <w:t xml:space="preserve">chode v rámci EÚ. </w:t>
      </w:r>
    </w:p>
    <w:p w14:paraId="722DA078" w14:textId="77777777" w:rsidR="00B20544" w:rsidRPr="00BA3C0B" w:rsidRDefault="00B20544" w:rsidP="00B20544">
      <w:pPr>
        <w:ind w:firstLine="708"/>
        <w:jc w:val="both"/>
        <w:rPr>
          <w:rFonts w:cstheme="minorHAnsi"/>
        </w:rPr>
      </w:pPr>
      <w:r w:rsidRPr="00BA3C0B">
        <w:rPr>
          <w:rFonts w:cstheme="minorHAnsi"/>
        </w:rPr>
        <w:t>V nadväznosti na uvedené a v súlade s podmienkami výzvy je potrebné aby každé opatrenie pomoci, ktoré má byť posúdené z hľadiska lokálneho charakteru, bolo vyhodnotené samostatne, s prihliadnutím na osobitosti každého prípadu (každej obce).</w:t>
      </w:r>
      <w:r>
        <w:rPr>
          <w:rFonts w:cstheme="minorHAnsi"/>
        </w:rPr>
        <w:t xml:space="preserve"> </w:t>
      </w:r>
      <w:r w:rsidRPr="00BA3C0B">
        <w:rPr>
          <w:rFonts w:cstheme="minorHAnsi"/>
        </w:rPr>
        <w:t>Pre potvrdenie toho, že opatrenie má iba lokálny vplyv a teda nemá viac ako len okrajový vplyv na podmienky cezhraničných investícií alebo usadenie</w:t>
      </w:r>
      <w:r>
        <w:rPr>
          <w:rFonts w:cstheme="minorHAnsi"/>
        </w:rPr>
        <w:t>,</w:t>
      </w:r>
      <w:r w:rsidRPr="00BA3C0B">
        <w:rPr>
          <w:rFonts w:cstheme="minorHAnsi"/>
        </w:rPr>
        <w:t xml:space="preserve"> slúži Test lokálneho charakteru (Príloha č. 9).</w:t>
      </w:r>
    </w:p>
    <w:p w14:paraId="5B71FDAC" w14:textId="77777777" w:rsidR="00B20544" w:rsidRPr="00BA3C0B" w:rsidRDefault="00B20544" w:rsidP="00B20544">
      <w:pPr>
        <w:ind w:firstLine="708"/>
        <w:jc w:val="both"/>
        <w:rPr>
          <w:rFonts w:cstheme="minorHAnsi"/>
        </w:rPr>
      </w:pPr>
      <w:r w:rsidRPr="00BA3C0B">
        <w:rPr>
          <w:rFonts w:cstheme="minorHAnsi"/>
        </w:rPr>
        <w:t>Otázky</w:t>
      </w:r>
      <w:r>
        <w:rPr>
          <w:rFonts w:cstheme="minorHAnsi"/>
        </w:rPr>
        <w:t xml:space="preserve"> obsiahnuté</w:t>
      </w:r>
      <w:r w:rsidRPr="00BA3C0B">
        <w:rPr>
          <w:rFonts w:cstheme="minorHAnsi"/>
        </w:rPr>
        <w:t xml:space="preserve"> v Teste lokálneho charakteru majú vylučujúci charakter alebo informatívny charakter. V prípade, ak má otázka vylučujúceho charakteru doplňujúcu </w:t>
      </w:r>
      <w:proofErr w:type="spellStart"/>
      <w:r w:rsidRPr="00BA3C0B">
        <w:rPr>
          <w:rFonts w:cstheme="minorHAnsi"/>
        </w:rPr>
        <w:t>podotázku</w:t>
      </w:r>
      <w:proofErr w:type="spellEnd"/>
      <w:r w:rsidRPr="00BA3C0B">
        <w:rPr>
          <w:rFonts w:cstheme="minorHAnsi"/>
        </w:rPr>
        <w:t>, vyhodnotenie odpovedí z hľadiska vplyvu na lokálny charakter je uvedené priamo v konkrétnej otázke.</w:t>
      </w:r>
      <w:r>
        <w:rPr>
          <w:rFonts w:cstheme="minorHAnsi"/>
        </w:rPr>
        <w:t xml:space="preserve"> </w:t>
      </w:r>
      <w:r w:rsidRPr="00BA3C0B">
        <w:rPr>
          <w:rFonts w:cstheme="minorHAnsi"/>
        </w:rPr>
        <w:t>Každý žiadateľ</w:t>
      </w:r>
      <w:r>
        <w:rPr>
          <w:rFonts w:cstheme="minorHAnsi"/>
        </w:rPr>
        <w:t xml:space="preserve"> o nenávratný finančný príspevok (ďalej ako „žiadateľ“) </w:t>
      </w:r>
      <w:r w:rsidRPr="00BA3C0B">
        <w:rPr>
          <w:rFonts w:cstheme="minorHAnsi"/>
        </w:rPr>
        <w:t>je povinný pravdivo vyplniť test lokálneho charakteru s prihliadnutím na mieste danosti a špecifiká, so zohľadnením geografickej polohy</w:t>
      </w:r>
      <w:r>
        <w:rPr>
          <w:rFonts w:cstheme="minorHAnsi"/>
        </w:rPr>
        <w:t>,</w:t>
      </w:r>
      <w:r w:rsidRPr="00BA3C0B">
        <w:rPr>
          <w:rFonts w:cstheme="minorHAnsi"/>
        </w:rPr>
        <w:t xml:space="preserve"> ako aj možného záujmu zahraničných subjektov o poskytovanie podporenej aktivity na území dotknutého žiadateľa.</w:t>
      </w:r>
    </w:p>
    <w:p w14:paraId="3F1DA6D8" w14:textId="285E7D65" w:rsidR="00B20544" w:rsidRPr="00BA3C0B" w:rsidRDefault="00B20544" w:rsidP="00B20544">
      <w:pPr>
        <w:ind w:firstLine="708"/>
        <w:jc w:val="both"/>
        <w:rPr>
          <w:rFonts w:cstheme="minorHAnsi"/>
        </w:rPr>
      </w:pPr>
      <w:r w:rsidRPr="00BA3C0B">
        <w:rPr>
          <w:rFonts w:cstheme="minorHAnsi"/>
        </w:rPr>
        <w:lastRenderedPageBreak/>
        <w:t xml:space="preserve">Test lokálneho charakteru </w:t>
      </w:r>
      <w:r>
        <w:rPr>
          <w:rFonts w:cstheme="minorHAnsi"/>
        </w:rPr>
        <w:t>pozostáva z dvoch častí</w:t>
      </w:r>
      <w:r w:rsidRPr="00BA3C0B">
        <w:rPr>
          <w:rFonts w:cstheme="minorHAnsi"/>
        </w:rPr>
        <w:t xml:space="preserve">, pričom </w:t>
      </w:r>
      <w:r w:rsidRPr="0024407A">
        <w:rPr>
          <w:rFonts w:cstheme="minorHAnsi"/>
          <w:b/>
          <w:bCs/>
        </w:rPr>
        <w:t>časť A</w:t>
      </w:r>
      <w:r w:rsidRPr="00BA3C0B">
        <w:rPr>
          <w:rFonts w:cstheme="minorHAnsi"/>
        </w:rPr>
        <w:t> </w:t>
      </w:r>
      <w:r w:rsidRPr="00C12BCA">
        <w:rPr>
          <w:rFonts w:cstheme="minorHAnsi"/>
        </w:rPr>
        <w:t>obsahuje 10 otázok vylučujúceho charakteru a </w:t>
      </w:r>
      <w:r w:rsidRPr="00C12BCA">
        <w:rPr>
          <w:rFonts w:cstheme="minorHAnsi"/>
          <w:b/>
          <w:bCs/>
        </w:rPr>
        <w:t>časť B</w:t>
      </w:r>
      <w:r w:rsidRPr="00C12BCA">
        <w:rPr>
          <w:rFonts w:cstheme="minorHAnsi"/>
        </w:rPr>
        <w:t xml:space="preserve"> zahŕňa 6 otázok informatívneho charakteru.</w:t>
      </w:r>
      <w:r w:rsidR="00170D1A">
        <w:rPr>
          <w:rFonts w:cstheme="minorHAnsi"/>
        </w:rPr>
        <w:t xml:space="preserve"> </w:t>
      </w:r>
      <w:r>
        <w:rPr>
          <w:rFonts w:cstheme="minorHAnsi"/>
        </w:rPr>
        <w:t>Predpokladom poskytnutia nenávratného finančného príspevku (ďalej ako „NFP“) poskytovateľom je vyplnenie oboch častí žiadateľom</w:t>
      </w:r>
      <w:r w:rsidRPr="00BA3C0B">
        <w:rPr>
          <w:rFonts w:cstheme="minorHAnsi"/>
        </w:rPr>
        <w:t>.</w:t>
      </w:r>
    </w:p>
    <w:p w14:paraId="006C278F" w14:textId="77777777" w:rsidR="006028CC" w:rsidRPr="000371DB" w:rsidRDefault="006028CC" w:rsidP="00BF697D">
      <w:pPr>
        <w:jc w:val="both"/>
        <w:rPr>
          <w:b/>
        </w:rPr>
      </w:pPr>
      <w:r w:rsidRPr="00E92E1A">
        <w:rPr>
          <w:b/>
        </w:rPr>
        <w:t xml:space="preserve">Časť A - </w:t>
      </w:r>
      <w:r w:rsidRPr="000371DB">
        <w:rPr>
          <w:b/>
        </w:rPr>
        <w:t>Otázky zamerané na preukázanie lokálneho charakteru</w:t>
      </w:r>
    </w:p>
    <w:p w14:paraId="465A6F5E" w14:textId="77777777" w:rsidR="008C11E2" w:rsidRDefault="008C11E2" w:rsidP="008C11E2">
      <w:pPr>
        <w:ind w:firstLine="708"/>
        <w:jc w:val="both"/>
        <w:rPr>
          <w:rFonts w:cstheme="minorHAnsi"/>
        </w:rPr>
      </w:pPr>
      <w:r>
        <w:rPr>
          <w:rFonts w:cstheme="minorHAnsi"/>
          <w:u w:val="single"/>
        </w:rPr>
        <w:t>Otázka č. 1</w:t>
      </w:r>
      <w:r>
        <w:rPr>
          <w:rFonts w:cstheme="minorHAnsi"/>
        </w:rPr>
        <w:t xml:space="preserve"> je zameraná na zemepisné umiestnenie stavieb, v ktorých bude poskytované sociálne nájomné bývanie predovšetkým pre miestnych obyvateľov. V zmysle podmienok výzvy sú </w:t>
      </w:r>
      <w:r>
        <w:rPr>
          <w:rFonts w:cstheme="minorHAnsi"/>
          <w:b/>
        </w:rPr>
        <w:t>oprávnenými žiadateľmi o poskytnutie NFP iba obce uvedené v Atlase rómskych komunít (ARK) z roku 2019 (prípadne následných aktualizácií), pričom investície budú prebiehať len v katastrálnom území dotknutých obcí, teda na území SR.</w:t>
      </w:r>
      <w:r>
        <w:rPr>
          <w:rFonts w:cstheme="minorHAnsi"/>
        </w:rPr>
        <w:t xml:space="preserve"> Vzhľadom na špecifické zameranie výzvy na zlepšenie podmienok bývania v obciach z ARK je možné predpokladať, že žiadatelia budú ponúkať takto podporené bývanie iba obyvateľom v rámci svojho územia. Uvedené podporujú aj skúsenosti z niektorých existujúcich kritérií obcí o podmienení ponuky sociálneho nájomného bývania trvalým pobytom žiadateľov o sociálne nájomné bývanie v danej obci. </w:t>
      </w:r>
    </w:p>
    <w:p w14:paraId="166F319B" w14:textId="77777777" w:rsidR="008C11E2" w:rsidRDefault="008C11E2" w:rsidP="008C11E2">
      <w:pPr>
        <w:ind w:firstLine="708"/>
        <w:jc w:val="both"/>
        <w:rPr>
          <w:rFonts w:cstheme="minorHAnsi"/>
        </w:rPr>
      </w:pPr>
      <w:r>
        <w:rPr>
          <w:rFonts w:cstheme="minorHAnsi"/>
        </w:rPr>
        <w:t xml:space="preserve">Z dôvodu uvedeného vyššie preto v prípade obstarania tohto typu bývania na zemepisne ohraničenom území žiadateľa nie je možné predpokladať významný dopad na obchod medzi členskými krajinami. Ak bude odpoveď „áno“ je rešpektovaný princíp lokálneho charakteru. </w:t>
      </w:r>
    </w:p>
    <w:p w14:paraId="42CED396" w14:textId="77777777" w:rsidR="008C11E2" w:rsidRDefault="008C11E2" w:rsidP="008C11E2">
      <w:pPr>
        <w:ind w:firstLine="708"/>
        <w:jc w:val="both"/>
        <w:rPr>
          <w:rFonts w:cstheme="minorHAnsi"/>
        </w:rPr>
      </w:pPr>
      <w:r>
        <w:rPr>
          <w:rFonts w:cstheme="minorHAnsi"/>
          <w:u w:val="single"/>
        </w:rPr>
        <w:t>Otázka č. 2</w:t>
      </w:r>
      <w:r>
        <w:rPr>
          <w:rFonts w:cstheme="minorHAnsi"/>
        </w:rPr>
        <w:t xml:space="preserve"> je zameraná akému subjektu budú ponúkané služby sociálneho nájomného bývania v podporených projektoch. Vzhľadom na špecifické zameranie výzvy na zlepšenie podmienok bývania v obciach z ARK a so zohľadnením ďalšej podmienky, ktorá ukladá žiadateľom povinnosť poskytnúť minimálne 50 % podporených bytov obyvateľom z MRK je možné predpokladať, že žiadatelia budú ponúkať takto podporené bývanie iba obyvateľom v rámci svojho územia. Uvedené podporujú aj skúsenosti z niektorých existujúcich kritérií obcí o podmienení ponuky sociálneho nájomného bývania trvalým pobytom žiadateľov o sociálne nájomné bývanie v danej obci. </w:t>
      </w:r>
    </w:p>
    <w:p w14:paraId="1397F7E3" w14:textId="77777777" w:rsidR="008C11E2" w:rsidRDefault="008C11E2" w:rsidP="008C11E2">
      <w:pPr>
        <w:ind w:firstLine="708"/>
        <w:jc w:val="both"/>
        <w:rPr>
          <w:rFonts w:cstheme="minorHAnsi"/>
        </w:rPr>
      </w:pPr>
      <w:r>
        <w:rPr>
          <w:rFonts w:cstheme="minorHAnsi"/>
        </w:rPr>
        <w:t xml:space="preserve">Z dôvodu uvedeného vyššie preto v prípade ponuky poskytnutia tohto bývania miestnym obyvateľom, nie je možné predpokladať významný dopad na obchod medzi členskými krajinami. Ak bude odpoveď „áno“ je rešpektovaný princíp lokálneho charakteru. </w:t>
      </w:r>
    </w:p>
    <w:p w14:paraId="480D8380" w14:textId="77777777" w:rsidR="008C11E2" w:rsidRDefault="008C11E2" w:rsidP="008C11E2">
      <w:pPr>
        <w:ind w:firstLine="708"/>
        <w:jc w:val="both"/>
        <w:rPr>
          <w:rFonts w:cstheme="minorHAnsi"/>
        </w:rPr>
      </w:pPr>
      <w:r>
        <w:rPr>
          <w:rFonts w:cstheme="minorHAnsi"/>
          <w:u w:val="single"/>
        </w:rPr>
        <w:t>Otázka č. 3</w:t>
      </w:r>
      <w:r>
        <w:rPr>
          <w:rFonts w:cstheme="minorHAnsi"/>
        </w:rPr>
        <w:t xml:space="preserve"> je zameraná na overenie, či sa na území žiadateľa nachádza aj iný subjekt, ktorý poskytuje sociálne nájomné bývanie pre miestnych obyvateľov. Ak na území žiadateľa poskytuje/bude poskytovať sociálne nájomné bývanie iba žiadateľ, v tom prípade bude odpoveď na predmetnú otázku bude „nie“ a tým je zároveň rešpektovaný lokálny charakter. V situácii, ak by na území žiadateľa poskytoval sociálne nájomné bývanie aj iný subjekt, bude potrebné v </w:t>
      </w:r>
      <w:proofErr w:type="spellStart"/>
      <w:r>
        <w:rPr>
          <w:rFonts w:cstheme="minorHAnsi"/>
        </w:rPr>
        <w:t>podotázke</w:t>
      </w:r>
      <w:proofErr w:type="spellEnd"/>
      <w:r>
        <w:rPr>
          <w:rFonts w:cstheme="minorHAnsi"/>
        </w:rPr>
        <w:t xml:space="preserve"> overiť, či je tento subjekt z iného členského štátu EÚ. Ak bude odpoveď „nie“ je rešpektovaný princíp lokálneho charakteru. </w:t>
      </w:r>
    </w:p>
    <w:p w14:paraId="497A9CA4" w14:textId="77777777" w:rsidR="008C11E2" w:rsidRDefault="008C11E2" w:rsidP="008C11E2">
      <w:pPr>
        <w:ind w:firstLine="708"/>
        <w:jc w:val="both"/>
        <w:rPr>
          <w:rFonts w:cstheme="minorHAnsi"/>
        </w:rPr>
      </w:pPr>
      <w:r>
        <w:rPr>
          <w:rFonts w:cstheme="minorHAnsi"/>
          <w:u w:val="single"/>
        </w:rPr>
        <w:t>Otázka č. 4</w:t>
      </w:r>
      <w:r>
        <w:rPr>
          <w:rFonts w:cstheme="minorHAnsi"/>
        </w:rPr>
        <w:t xml:space="preserve"> overuje, či má žiadateľ vedomosť o potenciálnom záujme poskytovateľa z iného členského štátu EÚ na území žiadateľa o realizáciu rovnakých/obdobných služieb pre miestnych obyvateľov. Ak žiadateľ takouto informáciou nedisponuje, odpoveďou „nie“ je rešpektovaný princíp lokálneho charakteru. </w:t>
      </w:r>
    </w:p>
    <w:p w14:paraId="7FD822EE" w14:textId="77777777" w:rsidR="008C11E2" w:rsidRDefault="008C11E2" w:rsidP="008C11E2">
      <w:pPr>
        <w:ind w:firstLine="708"/>
        <w:jc w:val="both"/>
        <w:rPr>
          <w:rFonts w:cstheme="minorHAnsi"/>
        </w:rPr>
      </w:pPr>
      <w:r>
        <w:rPr>
          <w:rFonts w:cstheme="minorHAnsi"/>
          <w:u w:val="single"/>
        </w:rPr>
        <w:t>Otázka č. 5</w:t>
      </w:r>
      <w:r>
        <w:rPr>
          <w:rFonts w:cstheme="minorHAnsi"/>
        </w:rPr>
        <w:t xml:space="preserve"> overuje, či má žiadateľ vedomosť o potenciálnom záujme poskytovateľa z iného členského štátu EÚ na území žiadateľa o realizáciu rovnakých/obdobných služieb pre miestnych </w:t>
      </w:r>
      <w:r>
        <w:rPr>
          <w:rFonts w:cstheme="minorHAnsi"/>
        </w:rPr>
        <w:lastRenderedPageBreak/>
        <w:t xml:space="preserve">obyvateľov v minulosti. Ak žiadateľ takouto informáciou nedisponuje, odpoveďou „nie“ je rešpektovaný princíp lokálneho charakteru. </w:t>
      </w:r>
    </w:p>
    <w:p w14:paraId="21C0FF1F" w14:textId="77777777" w:rsidR="008C11E2" w:rsidRDefault="008C11E2" w:rsidP="008C11E2">
      <w:pPr>
        <w:ind w:firstLine="708"/>
        <w:jc w:val="both"/>
        <w:rPr>
          <w:rFonts w:cstheme="minorHAnsi"/>
        </w:rPr>
      </w:pPr>
      <w:r>
        <w:rPr>
          <w:rFonts w:cstheme="minorHAnsi"/>
          <w:u w:val="single"/>
        </w:rPr>
        <w:t>Otázka č. 6</w:t>
      </w:r>
      <w:r>
        <w:rPr>
          <w:rFonts w:cstheme="minorHAnsi"/>
        </w:rPr>
        <w:t xml:space="preserve"> sa zaoberá predpokladom, či sa po poskytnutí NFP a obstarania sociálneho nájomného bývania z poskytnutého NFP, zvýši zo strany občanov z iných členských krajín EÚ, ktorí nemajú na území SR trvalý alebo prechodný pobyt, ich záujem o sociálne nájomné bývanie. Ak bude odpoveď „nie“ je rešpektovaný princíp lokálneho charakteru. </w:t>
      </w:r>
    </w:p>
    <w:p w14:paraId="04080914" w14:textId="77777777" w:rsidR="008C11E2" w:rsidRDefault="008C11E2" w:rsidP="008C11E2">
      <w:pPr>
        <w:ind w:firstLine="708"/>
        <w:jc w:val="both"/>
        <w:rPr>
          <w:rFonts w:cstheme="minorHAnsi"/>
        </w:rPr>
      </w:pPr>
      <w:r>
        <w:rPr>
          <w:rFonts w:cstheme="minorHAnsi"/>
          <w:u w:val="single"/>
        </w:rPr>
        <w:t>Otázka č. 7</w:t>
      </w:r>
      <w:r>
        <w:rPr>
          <w:rFonts w:cstheme="minorHAnsi"/>
        </w:rPr>
        <w:t xml:space="preserve"> overuje, či žiadateľ poskytuje služby sociálneho nájomného bývania aj v zahraničí. </w:t>
      </w:r>
      <w:r>
        <w:rPr>
          <w:rFonts w:cstheme="minorHAnsi"/>
          <w:u w:val="single"/>
        </w:rPr>
        <w:t xml:space="preserve"> </w:t>
      </w:r>
      <w:r>
        <w:rPr>
          <w:rFonts w:cstheme="minorHAnsi"/>
        </w:rPr>
        <w:t xml:space="preserve">Ak bude odpoveď „nie“ je rešpektovaný princíp lokálneho charakteru. </w:t>
      </w:r>
    </w:p>
    <w:p w14:paraId="4350FC50" w14:textId="77777777" w:rsidR="008C11E2" w:rsidRDefault="008C11E2" w:rsidP="008C11E2">
      <w:pPr>
        <w:ind w:firstLine="708"/>
        <w:jc w:val="both"/>
        <w:rPr>
          <w:rFonts w:cstheme="minorHAnsi"/>
        </w:rPr>
      </w:pPr>
      <w:r>
        <w:rPr>
          <w:rFonts w:cstheme="minorHAnsi"/>
          <w:u w:val="single"/>
        </w:rPr>
        <w:t>Otázka č. 8</w:t>
      </w:r>
      <w:r>
        <w:rPr>
          <w:rFonts w:cstheme="minorHAnsi"/>
        </w:rPr>
        <w:t xml:space="preserve"> overuje, č žiadateľ po poskytnutí NFP bude ponúkať rovnaké alebo obdobné služby sociálneho nájomného bývania aj v zahraničí. Ak bude odpoveď „nie“ je rešpektovaný princíp lokálneho charakteru. </w:t>
      </w:r>
    </w:p>
    <w:p w14:paraId="14EC5DCF" w14:textId="77777777" w:rsidR="008C11E2" w:rsidRDefault="008C11E2" w:rsidP="008C11E2">
      <w:pPr>
        <w:ind w:firstLine="708"/>
        <w:jc w:val="both"/>
        <w:rPr>
          <w:rFonts w:cstheme="minorHAnsi"/>
        </w:rPr>
      </w:pPr>
      <w:r>
        <w:rPr>
          <w:rFonts w:cstheme="minorHAnsi"/>
          <w:u w:val="single"/>
        </w:rPr>
        <w:t>Otázka č. 9</w:t>
      </w:r>
      <w:r>
        <w:rPr>
          <w:rFonts w:cstheme="minorHAnsi"/>
        </w:rPr>
        <w:t xml:space="preserve"> overuje, či má žiadateľ podkladovú dokumentáciu, ktorá potvrdzuje predchádzajúce odpovede. Ak bude odpoveď „áno“ je rešpektovaný princíp lokálneho charakteru. </w:t>
      </w:r>
    </w:p>
    <w:p w14:paraId="4AD79262" w14:textId="77777777" w:rsidR="008C11E2" w:rsidRDefault="008C11E2" w:rsidP="008C11E2">
      <w:pPr>
        <w:ind w:firstLine="708"/>
        <w:jc w:val="both"/>
        <w:rPr>
          <w:rFonts w:cstheme="minorHAnsi"/>
        </w:rPr>
      </w:pPr>
      <w:r>
        <w:rPr>
          <w:rFonts w:cstheme="minorHAnsi"/>
          <w:u w:val="single"/>
        </w:rPr>
        <w:t>Otázka č. 10</w:t>
      </w:r>
      <w:r>
        <w:rPr>
          <w:rFonts w:cstheme="minorHAnsi"/>
        </w:rPr>
        <w:t xml:space="preserve"> sa týka budúcich aktivít žiadateľa, pričom sa overuje, či bude žiadateľ propagovať svoje aktivity v oblasti sociálneho nájomného bývania v iných členských krajinách EÚ. Povedané inými slovami, či bude oslovovať potenciálnych „klientov“ sociálneho nájomného bývania za účelom ich získania aj v iných členských krajinách EÚ. Ak bude odpoveď „nie“ je rešpektovaný princíp lokálneho charakteru. </w:t>
      </w:r>
    </w:p>
    <w:p w14:paraId="64634155" w14:textId="2A7E671E" w:rsidR="006028CC" w:rsidRPr="00E92E1A" w:rsidRDefault="006028CC" w:rsidP="00BF697D">
      <w:pPr>
        <w:jc w:val="both"/>
        <w:rPr>
          <w:b/>
        </w:rPr>
      </w:pPr>
      <w:r w:rsidRPr="00E92E1A">
        <w:rPr>
          <w:b/>
        </w:rPr>
        <w:t>Časť B – Otázky informatívneho charakteru</w:t>
      </w:r>
    </w:p>
    <w:p w14:paraId="45ABA034" w14:textId="75747462" w:rsidR="00BB777A" w:rsidRPr="006A643B" w:rsidRDefault="006028CC" w:rsidP="00EA246D">
      <w:pPr>
        <w:jc w:val="both"/>
        <w:rPr>
          <w:rFonts w:cstheme="minorHAnsi"/>
          <w:szCs w:val="24"/>
        </w:rPr>
      </w:pPr>
      <w:r>
        <w:t xml:space="preserve">Ako je uvedené vyššie, otázky v tejto časti majú informatívny charakter a pre poskytovateľa budú odpovede slúžiť na oboznámenie sa s reálnou situáciou v obci a zároveň budú slúžiť pre štatistické vyhodnotenie zapojených žiadateľov. Preto je potrebné zo strany žiadateľa pravdivo a vecne odpovedať aj na otázky v tejto časti. </w:t>
      </w:r>
    </w:p>
    <w:sectPr w:rsidR="00BB777A" w:rsidRPr="006A643B" w:rsidSect="00C00F15">
      <w:headerReference w:type="default" r:id="rId11"/>
      <w:footerReference w:type="default" r:id="rId12"/>
      <w:pgSz w:w="11906" w:h="16838"/>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A961D" w14:textId="77777777" w:rsidR="00142AEC" w:rsidRDefault="00142AEC" w:rsidP="002B4423">
      <w:pPr>
        <w:spacing w:after="0" w:line="240" w:lineRule="auto"/>
      </w:pPr>
      <w:r>
        <w:separator/>
      </w:r>
    </w:p>
  </w:endnote>
  <w:endnote w:type="continuationSeparator" w:id="0">
    <w:p w14:paraId="347AE333" w14:textId="77777777" w:rsidR="00142AEC" w:rsidRDefault="00142AEC" w:rsidP="002B4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787C4" w14:textId="4EE6E365" w:rsidR="007E434B" w:rsidRPr="00C00F15" w:rsidRDefault="007E434B" w:rsidP="00C00F15">
    <w:pPr>
      <w:pStyle w:val="Pta"/>
      <w:jc w:val="center"/>
      <w:rPr>
        <w:caps/>
      </w:rPr>
    </w:pPr>
    <w:r w:rsidRPr="00681C82">
      <w:rPr>
        <w:caps/>
      </w:rPr>
      <w:fldChar w:fldCharType="begin"/>
    </w:r>
    <w:r w:rsidRPr="00681C82">
      <w:rPr>
        <w:caps/>
      </w:rPr>
      <w:instrText>PAGE   \* MERGEFORMAT</w:instrText>
    </w:r>
    <w:r w:rsidRPr="00681C82">
      <w:rPr>
        <w:caps/>
      </w:rPr>
      <w:fldChar w:fldCharType="separate"/>
    </w:r>
    <w:r w:rsidR="002323ED">
      <w:rPr>
        <w:caps/>
        <w:noProof/>
      </w:rPr>
      <w:t>1</w:t>
    </w:r>
    <w:r w:rsidR="002323ED">
      <w:rPr>
        <w:caps/>
        <w:noProof/>
      </w:rPr>
      <w:t>9</w:t>
    </w:r>
    <w:r w:rsidRPr="00681C82">
      <w:rPr>
        <w:cap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FDF0A" w14:textId="77777777" w:rsidR="00142AEC" w:rsidRDefault="00142AEC" w:rsidP="002B4423">
      <w:pPr>
        <w:spacing w:after="0" w:line="240" w:lineRule="auto"/>
      </w:pPr>
      <w:r>
        <w:separator/>
      </w:r>
    </w:p>
  </w:footnote>
  <w:footnote w:type="continuationSeparator" w:id="0">
    <w:p w14:paraId="44AD49F5" w14:textId="77777777" w:rsidR="00142AEC" w:rsidRDefault="00142AEC" w:rsidP="002B4423">
      <w:pPr>
        <w:spacing w:after="0" w:line="240" w:lineRule="auto"/>
      </w:pPr>
      <w:r>
        <w:continuationSeparator/>
      </w:r>
    </w:p>
  </w:footnote>
  <w:footnote w:id="1">
    <w:p w14:paraId="347BDA8F" w14:textId="47D717ED" w:rsidR="00CB05C4" w:rsidRDefault="00CB05C4">
      <w:pPr>
        <w:pStyle w:val="Textpoznmkypodiarou"/>
      </w:pPr>
      <w:bookmarkStart w:id="1" w:name="_Hlk196670328"/>
      <w:ins w:id="2" w:author="Hajdin Miloš" w:date="2025-04-27T18:11:00Z" w16du:dateUtc="2025-04-27T16:11:00Z">
        <w:r>
          <w:rPr>
            <w:rStyle w:val="Odkaznapoznmkupodiarou"/>
          </w:rPr>
          <w:footnoteRef/>
        </w:r>
        <w:r>
          <w:t xml:space="preserve"> </w:t>
        </w:r>
      </w:ins>
      <w:ins w:id="3" w:author="Hajdin Miloš" w:date="2025-04-27T18:12:00Z" w16du:dateUtc="2025-04-27T16:12:00Z">
        <w:r>
          <w:t xml:space="preserve">V prípade riešenia bytovej budovy pavlačovou formou </w:t>
        </w:r>
      </w:ins>
      <w:ins w:id="4" w:author="Hajdin Miloš" w:date="2025-04-27T18:13:00Z" w16du:dateUtc="2025-04-27T16:13:00Z">
        <w:r>
          <w:t xml:space="preserve">výstavby </w:t>
        </w:r>
      </w:ins>
      <w:ins w:id="5" w:author="Hajdin Miloš" w:date="2025-04-27T18:12:00Z" w16du:dateUtc="2025-04-27T16:12:00Z">
        <w:r>
          <w:t>(teda každ</w:t>
        </w:r>
      </w:ins>
      <w:ins w:id="6" w:author="Hajdin Miloš" w:date="2025-04-27T18:13:00Z" w16du:dateUtc="2025-04-27T16:13:00Z">
        <w:r>
          <w:t>ý</w:t>
        </w:r>
      </w:ins>
      <w:ins w:id="7" w:author="Hajdin Miloš" w:date="2025-04-27T18:12:00Z" w16du:dateUtc="2025-04-27T16:12:00Z">
        <w:r>
          <w:t xml:space="preserve"> vstup do bytu je riešený samostatne) pov</w:t>
        </w:r>
      </w:ins>
      <w:ins w:id="8" w:author="Hajdin Miloš" w:date="2025-04-27T18:13:00Z" w16du:dateUtc="2025-04-27T16:13:00Z">
        <w:r>
          <w:t>ažuje sa aj takého riešenie za vyhovujúce podmienkam.</w:t>
        </w:r>
      </w:ins>
      <w:bookmarkEnd w:id="1"/>
    </w:p>
  </w:footnote>
  <w:footnote w:id="2">
    <w:p w14:paraId="3C209192" w14:textId="727407D0" w:rsidR="00B22444" w:rsidRPr="00C84B53" w:rsidRDefault="00B22444">
      <w:pPr>
        <w:pStyle w:val="Textpoznmkypodiarou"/>
        <w:rPr>
          <w:sz w:val="18"/>
          <w:szCs w:val="18"/>
        </w:rPr>
      </w:pPr>
      <w:r w:rsidRPr="00C84B53">
        <w:rPr>
          <w:rStyle w:val="Odkaznapoznmkupodiarou"/>
          <w:sz w:val="18"/>
          <w:szCs w:val="18"/>
        </w:rPr>
        <w:footnoteRef/>
      </w:r>
      <w:r w:rsidRPr="00C84B53">
        <w:rPr>
          <w:sz w:val="18"/>
          <w:szCs w:val="18"/>
        </w:rPr>
        <w:t xml:space="preserve"> Prevzaté z rómskeho jazyka.</w:t>
      </w:r>
    </w:p>
  </w:footnote>
  <w:footnote w:id="3">
    <w:p w14:paraId="4FFEBB95" w14:textId="06A6B369" w:rsidR="00791E0E" w:rsidRPr="00C84B53" w:rsidRDefault="00791E0E">
      <w:pPr>
        <w:pStyle w:val="Textpoznmkypodiarou"/>
        <w:rPr>
          <w:sz w:val="18"/>
          <w:szCs w:val="18"/>
        </w:rPr>
      </w:pPr>
      <w:r w:rsidRPr="00C84B53">
        <w:rPr>
          <w:rStyle w:val="Odkaznapoznmkupodiarou"/>
          <w:sz w:val="18"/>
          <w:szCs w:val="18"/>
        </w:rPr>
        <w:footnoteRef/>
      </w:r>
      <w:r w:rsidRPr="00C84B53">
        <w:rPr>
          <w:sz w:val="18"/>
          <w:szCs w:val="18"/>
        </w:rPr>
        <w:t xml:space="preserve"> V odôvodnených prípadoch, na základe objektívnych dôvodov je možné tento termín so súhlasom poskytovateľa upraviť.</w:t>
      </w:r>
    </w:p>
  </w:footnote>
  <w:footnote w:id="4">
    <w:p w14:paraId="547DAD27" w14:textId="75B538C7" w:rsidR="00EA142C" w:rsidRDefault="00EA142C">
      <w:pPr>
        <w:pStyle w:val="Textpoznmkypodiarou"/>
      </w:pPr>
      <w:r>
        <w:rPr>
          <w:rStyle w:val="Odkaznapoznmkupodiarou"/>
        </w:rPr>
        <w:footnoteRef/>
      </w:r>
      <w:r>
        <w:t xml:space="preserve"> </w:t>
      </w:r>
      <w:r w:rsidRPr="00074D97">
        <w:rPr>
          <w:sz w:val="18"/>
          <w:szCs w:val="18"/>
        </w:rPr>
        <w:t>V odôvodnených prípadoch je možné uvedenú lehotu predĺžiť na základe súhlasu SO</w:t>
      </w:r>
      <w:r>
        <w:rPr>
          <w:sz w:val="18"/>
          <w:szCs w:val="18"/>
        </w:rPr>
        <w:t>.</w:t>
      </w:r>
    </w:p>
  </w:footnote>
  <w:footnote w:id="5">
    <w:p w14:paraId="20863B80" w14:textId="193AC41E" w:rsidR="00A61A11" w:rsidRPr="00A17E10" w:rsidRDefault="00A61A11">
      <w:pPr>
        <w:pStyle w:val="Textpoznmkypodiarou"/>
        <w:rPr>
          <w:sz w:val="18"/>
          <w:szCs w:val="18"/>
        </w:rPr>
      </w:pPr>
      <w:r w:rsidRPr="00A17E10">
        <w:rPr>
          <w:rStyle w:val="Odkaznapoznmkupodiarou"/>
          <w:sz w:val="18"/>
          <w:szCs w:val="18"/>
        </w:rPr>
        <w:footnoteRef/>
      </w:r>
      <w:r w:rsidRPr="00A17E10">
        <w:rPr>
          <w:sz w:val="18"/>
          <w:szCs w:val="18"/>
        </w:rPr>
        <w:t xml:space="preserve"> Po ukončení stavebných prác je možné dotknutý pozemok upraviť napríklad za účelom využitia na aktívny, resp. pasívny oddych.</w:t>
      </w:r>
    </w:p>
  </w:footnote>
  <w:footnote w:id="6">
    <w:p w14:paraId="68F91B5B" w14:textId="77777777" w:rsidR="007E434B" w:rsidRPr="00674889" w:rsidRDefault="007E434B" w:rsidP="009B2959">
      <w:pPr>
        <w:pStyle w:val="Textpoznmkypodiarou"/>
        <w:jc w:val="both"/>
        <w:rPr>
          <w:sz w:val="18"/>
          <w:szCs w:val="18"/>
        </w:rPr>
      </w:pPr>
      <w:r w:rsidRPr="00674889">
        <w:rPr>
          <w:rStyle w:val="Odkaznapoznmkupodiarou"/>
          <w:sz w:val="18"/>
          <w:szCs w:val="18"/>
        </w:rPr>
        <w:footnoteRef/>
      </w:r>
      <w:r w:rsidRPr="00674889">
        <w:rPr>
          <w:sz w:val="18"/>
          <w:szCs w:val="18"/>
        </w:rPr>
        <w:t xml:space="preserve"> </w:t>
      </w:r>
      <w:r w:rsidRPr="00674889">
        <w:rPr>
          <w:rFonts w:cs="Times New Roman"/>
          <w:sz w:val="18"/>
          <w:szCs w:val="18"/>
        </w:rPr>
        <w:t xml:space="preserve">V prípade, ak žiadateľ/prijímateľ alebo niektorý z predchádzajúcich vlastníkov pozemku získal v minulosti príspevok zo všeobecného rozpočtu EÚ na nákup príslušného pozemku, potom výdavky na nákup tohto pozemku budú považované za neoprávnené. Ak poskytovateľ identifikuje pri kúpe pozemku konflikt záujmov v zmysle § 45 ods. 1 </w:t>
      </w:r>
      <w:r w:rsidRPr="00674889">
        <w:rPr>
          <w:sz w:val="18"/>
          <w:szCs w:val="18"/>
        </w:rPr>
        <w:t>zákona č. 121/2022 Z. z o príspevkoch z fondov Európskej únie a o zmene a doplnení niektorých zákonov</w:t>
      </w:r>
      <w:r w:rsidRPr="00674889">
        <w:rPr>
          <w:rFonts w:cs="Times New Roman"/>
          <w:sz w:val="18"/>
          <w:szCs w:val="18"/>
        </w:rPr>
        <w:t>, výdavky na kúpu pozemku budú neoprávnené v plnom rozsahu.</w:t>
      </w:r>
    </w:p>
  </w:footnote>
  <w:footnote w:id="7">
    <w:p w14:paraId="3550D818" w14:textId="3ABDA029" w:rsidR="0092388A" w:rsidRDefault="0092388A">
      <w:pPr>
        <w:pStyle w:val="Textpoznmkypodiarou"/>
      </w:pPr>
      <w:r>
        <w:rPr>
          <w:rStyle w:val="Odkaznapoznmkupodiarou"/>
        </w:rPr>
        <w:footnoteRef/>
      </w:r>
      <w:r>
        <w:t xml:space="preserve"> </w:t>
      </w:r>
      <w:r w:rsidRPr="00A17E10">
        <w:rPr>
          <w:sz w:val="18"/>
          <w:szCs w:val="18"/>
        </w:rPr>
        <w:t>Zákon č. 138/1991 Zb. o majetku obcí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10FE4" w14:textId="38B10825" w:rsidR="007E434B" w:rsidRDefault="007E434B" w:rsidP="00C00F15">
    <w:pPr>
      <w:pStyle w:val="Hlavika"/>
    </w:pPr>
    <w:r>
      <w:rPr>
        <w:noProof/>
        <w:lang w:eastAsia="sk-SK"/>
      </w:rPr>
      <w:drawing>
        <wp:inline distT="0" distB="0" distL="0" distR="0" wp14:anchorId="7DAC4342" wp14:editId="549D3FC0">
          <wp:extent cx="5753100" cy="431067"/>
          <wp:effectExtent l="0" t="0" r="0" b="762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a Hlavick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42854" cy="460270"/>
                  </a:xfrm>
                  <a:prstGeom prst="rect">
                    <a:avLst/>
                  </a:prstGeom>
                </pic:spPr>
              </pic:pic>
            </a:graphicData>
          </a:graphic>
        </wp:inline>
      </w:drawing>
    </w:r>
  </w:p>
  <w:p w14:paraId="7A9234A0" w14:textId="77777777" w:rsidR="002B2494" w:rsidRDefault="002B2494" w:rsidP="00C00F15">
    <w:pPr>
      <w:pStyle w:val="Hlavika"/>
    </w:pPr>
  </w:p>
  <w:p w14:paraId="086260E6" w14:textId="1A19BD3F" w:rsidR="005D1344" w:rsidRPr="00364CD0" w:rsidRDefault="005D1344" w:rsidP="005D1344">
    <w:pPr>
      <w:pStyle w:val="Default"/>
      <w:jc w:val="right"/>
      <w:rPr>
        <w:rFonts w:asciiTheme="minorHAnsi" w:hAnsiTheme="minorHAnsi" w:cstheme="minorHAnsi"/>
        <w:color w:val="auto"/>
        <w:sz w:val="22"/>
        <w:szCs w:val="22"/>
      </w:rPr>
    </w:pPr>
    <w:r w:rsidRPr="00364CD0">
      <w:rPr>
        <w:rFonts w:asciiTheme="minorHAnsi" w:hAnsiTheme="minorHAnsi" w:cstheme="minorHAnsi"/>
        <w:color w:val="auto"/>
        <w:sz w:val="22"/>
        <w:szCs w:val="22"/>
      </w:rPr>
      <w:t>Príloha č.</w:t>
    </w:r>
    <w:r>
      <w:rPr>
        <w:rFonts w:asciiTheme="minorHAnsi" w:hAnsiTheme="minorHAnsi" w:cstheme="minorHAnsi"/>
        <w:color w:val="auto"/>
        <w:sz w:val="22"/>
        <w:szCs w:val="22"/>
      </w:rPr>
      <w:t xml:space="preserve"> </w:t>
    </w:r>
    <w:r w:rsidRPr="005D1344">
      <w:rPr>
        <w:rFonts w:asciiTheme="minorHAnsi" w:hAnsiTheme="minorHAnsi" w:cstheme="minorHAnsi"/>
        <w:color w:val="auto"/>
        <w:sz w:val="22"/>
        <w:szCs w:val="22"/>
      </w:rPr>
      <w:t>10 vý</w:t>
    </w:r>
    <w:r w:rsidRPr="00364CD0">
      <w:rPr>
        <w:rFonts w:asciiTheme="minorHAnsi" w:hAnsiTheme="minorHAnsi" w:cstheme="minorHAnsi"/>
        <w:color w:val="auto"/>
        <w:sz w:val="22"/>
        <w:szCs w:val="22"/>
      </w:rPr>
      <w:t xml:space="preserve">zvy – </w:t>
    </w:r>
    <w:r>
      <w:rPr>
        <w:rFonts w:asciiTheme="minorHAnsi" w:hAnsiTheme="minorHAnsi" w:cstheme="minorHAnsi"/>
        <w:color w:val="auto"/>
        <w:sz w:val="22"/>
        <w:szCs w:val="22"/>
      </w:rPr>
      <w:t>Zásady a podmienky sociálneho bývania</w:t>
    </w:r>
  </w:p>
  <w:p w14:paraId="454BCF74" w14:textId="77777777" w:rsidR="005D1344" w:rsidRDefault="005D1344" w:rsidP="00C00F1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E4CED"/>
    <w:multiLevelType w:val="multilevel"/>
    <w:tmpl w:val="BDC482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CD33695"/>
    <w:multiLevelType w:val="hybridMultilevel"/>
    <w:tmpl w:val="774407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E4B05A1"/>
    <w:multiLevelType w:val="hybridMultilevel"/>
    <w:tmpl w:val="519AD61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AF7D3E"/>
    <w:multiLevelType w:val="hybridMultilevel"/>
    <w:tmpl w:val="C23E46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1080577"/>
    <w:multiLevelType w:val="hybridMultilevel"/>
    <w:tmpl w:val="9F8A00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0E5030"/>
    <w:multiLevelType w:val="hybridMultilevel"/>
    <w:tmpl w:val="0ED8F3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88E3EBC"/>
    <w:multiLevelType w:val="hybridMultilevel"/>
    <w:tmpl w:val="E7928EF8"/>
    <w:lvl w:ilvl="0" w:tplc="449ECA5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A3634D1"/>
    <w:multiLevelType w:val="hybridMultilevel"/>
    <w:tmpl w:val="9668B304"/>
    <w:lvl w:ilvl="0" w:tplc="041B0017">
      <w:start w:val="1"/>
      <w:numFmt w:val="low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1D02099C"/>
    <w:multiLevelType w:val="hybridMultilevel"/>
    <w:tmpl w:val="997E10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D0626EC"/>
    <w:multiLevelType w:val="hybridMultilevel"/>
    <w:tmpl w:val="DEECB4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1958C0"/>
    <w:multiLevelType w:val="hybridMultilevel"/>
    <w:tmpl w:val="9668B304"/>
    <w:lvl w:ilvl="0" w:tplc="041B0017">
      <w:start w:val="1"/>
      <w:numFmt w:val="low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2D2D40FD"/>
    <w:multiLevelType w:val="hybridMultilevel"/>
    <w:tmpl w:val="DCB817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2D640689"/>
    <w:multiLevelType w:val="hybridMultilevel"/>
    <w:tmpl w:val="AAC85562"/>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2DBC4380"/>
    <w:multiLevelType w:val="hybridMultilevel"/>
    <w:tmpl w:val="B25E5C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DF679CB"/>
    <w:multiLevelType w:val="hybridMultilevel"/>
    <w:tmpl w:val="61FA29C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35071A90"/>
    <w:multiLevelType w:val="hybridMultilevel"/>
    <w:tmpl w:val="6E10D1A6"/>
    <w:lvl w:ilvl="0" w:tplc="449ECA58">
      <w:numFmt w:val="bullet"/>
      <w:lvlText w:val="•"/>
      <w:lvlJc w:val="left"/>
      <w:pPr>
        <w:ind w:left="644" w:hanging="360"/>
      </w:pPr>
      <w:rPr>
        <w:rFonts w:ascii="Calibri" w:eastAsiaTheme="minorHAnsi"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6" w15:restartNumberingAfterBreak="0">
    <w:nsid w:val="3597145C"/>
    <w:multiLevelType w:val="hybridMultilevel"/>
    <w:tmpl w:val="15664DDC"/>
    <w:lvl w:ilvl="0" w:tplc="449ECA5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9C62459"/>
    <w:multiLevelType w:val="hybridMultilevel"/>
    <w:tmpl w:val="F8C06546"/>
    <w:lvl w:ilvl="0" w:tplc="E0CCB840">
      <w:start w:val="1"/>
      <w:numFmt w:val="lowerLetter"/>
      <w:lvlText w:val="%1)"/>
      <w:lvlJc w:val="left"/>
      <w:pPr>
        <w:ind w:left="284" w:hanging="360"/>
      </w:pPr>
      <w:rPr>
        <w:rFonts w:hint="default"/>
      </w:rPr>
    </w:lvl>
    <w:lvl w:ilvl="1" w:tplc="041B0019" w:tentative="1">
      <w:start w:val="1"/>
      <w:numFmt w:val="lowerLetter"/>
      <w:lvlText w:val="%2."/>
      <w:lvlJc w:val="left"/>
      <w:pPr>
        <w:ind w:left="1004" w:hanging="360"/>
      </w:pPr>
    </w:lvl>
    <w:lvl w:ilvl="2" w:tplc="041B001B" w:tentative="1">
      <w:start w:val="1"/>
      <w:numFmt w:val="lowerRoman"/>
      <w:lvlText w:val="%3."/>
      <w:lvlJc w:val="right"/>
      <w:pPr>
        <w:ind w:left="1724" w:hanging="180"/>
      </w:pPr>
    </w:lvl>
    <w:lvl w:ilvl="3" w:tplc="041B000F" w:tentative="1">
      <w:start w:val="1"/>
      <w:numFmt w:val="decimal"/>
      <w:lvlText w:val="%4."/>
      <w:lvlJc w:val="left"/>
      <w:pPr>
        <w:ind w:left="2444" w:hanging="360"/>
      </w:pPr>
    </w:lvl>
    <w:lvl w:ilvl="4" w:tplc="041B0019" w:tentative="1">
      <w:start w:val="1"/>
      <w:numFmt w:val="lowerLetter"/>
      <w:lvlText w:val="%5."/>
      <w:lvlJc w:val="left"/>
      <w:pPr>
        <w:ind w:left="3164" w:hanging="360"/>
      </w:pPr>
    </w:lvl>
    <w:lvl w:ilvl="5" w:tplc="041B001B" w:tentative="1">
      <w:start w:val="1"/>
      <w:numFmt w:val="lowerRoman"/>
      <w:lvlText w:val="%6."/>
      <w:lvlJc w:val="right"/>
      <w:pPr>
        <w:ind w:left="3884" w:hanging="180"/>
      </w:pPr>
    </w:lvl>
    <w:lvl w:ilvl="6" w:tplc="041B000F" w:tentative="1">
      <w:start w:val="1"/>
      <w:numFmt w:val="decimal"/>
      <w:lvlText w:val="%7."/>
      <w:lvlJc w:val="left"/>
      <w:pPr>
        <w:ind w:left="4604" w:hanging="360"/>
      </w:pPr>
    </w:lvl>
    <w:lvl w:ilvl="7" w:tplc="041B0019" w:tentative="1">
      <w:start w:val="1"/>
      <w:numFmt w:val="lowerLetter"/>
      <w:lvlText w:val="%8."/>
      <w:lvlJc w:val="left"/>
      <w:pPr>
        <w:ind w:left="5324" w:hanging="360"/>
      </w:pPr>
    </w:lvl>
    <w:lvl w:ilvl="8" w:tplc="041B001B" w:tentative="1">
      <w:start w:val="1"/>
      <w:numFmt w:val="lowerRoman"/>
      <w:lvlText w:val="%9."/>
      <w:lvlJc w:val="right"/>
      <w:pPr>
        <w:ind w:left="6044" w:hanging="180"/>
      </w:pPr>
    </w:lvl>
  </w:abstractNum>
  <w:abstractNum w:abstractNumId="18" w15:restartNumberingAfterBreak="0">
    <w:nsid w:val="3CA84579"/>
    <w:multiLevelType w:val="hybridMultilevel"/>
    <w:tmpl w:val="9668B304"/>
    <w:lvl w:ilvl="0" w:tplc="041B0017">
      <w:start w:val="1"/>
      <w:numFmt w:val="low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407F0027"/>
    <w:multiLevelType w:val="hybridMultilevel"/>
    <w:tmpl w:val="EE1089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11C087E"/>
    <w:multiLevelType w:val="multilevel"/>
    <w:tmpl w:val="FB0E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4CA31C1"/>
    <w:multiLevelType w:val="hybridMultilevel"/>
    <w:tmpl w:val="00866BFE"/>
    <w:lvl w:ilvl="0" w:tplc="041B000F">
      <w:start w:val="1"/>
      <w:numFmt w:val="decimal"/>
      <w:lvlText w:val="%1."/>
      <w:lvlJc w:val="left"/>
      <w:pPr>
        <w:ind w:left="502"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4CA376F"/>
    <w:multiLevelType w:val="hybridMultilevel"/>
    <w:tmpl w:val="C668FE60"/>
    <w:lvl w:ilvl="0" w:tplc="449ECA5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7041E48"/>
    <w:multiLevelType w:val="hybridMultilevel"/>
    <w:tmpl w:val="7E2AA6AE"/>
    <w:lvl w:ilvl="0" w:tplc="449ECA58">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CE82955"/>
    <w:multiLevelType w:val="hybridMultilevel"/>
    <w:tmpl w:val="9668B304"/>
    <w:lvl w:ilvl="0" w:tplc="041B0017">
      <w:start w:val="1"/>
      <w:numFmt w:val="low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15:restartNumberingAfterBreak="0">
    <w:nsid w:val="56B17C58"/>
    <w:multiLevelType w:val="hybridMultilevel"/>
    <w:tmpl w:val="3A6457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6E845FB"/>
    <w:multiLevelType w:val="hybridMultilevel"/>
    <w:tmpl w:val="D86C4384"/>
    <w:lvl w:ilvl="0" w:tplc="041B0017">
      <w:start w:val="1"/>
      <w:numFmt w:val="lowerLetter"/>
      <w:lvlText w:val="%1)"/>
      <w:lvlJc w:val="left"/>
      <w:pPr>
        <w:ind w:left="644" w:hanging="360"/>
      </w:p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7" w15:restartNumberingAfterBreak="0">
    <w:nsid w:val="57BE578E"/>
    <w:multiLevelType w:val="hybridMultilevel"/>
    <w:tmpl w:val="55701C4A"/>
    <w:lvl w:ilvl="0" w:tplc="4F4C7704">
      <w:start w:val="1"/>
      <w:numFmt w:val="bullet"/>
      <w:lvlText w:val="-"/>
      <w:lvlJc w:val="left"/>
      <w:pPr>
        <w:ind w:left="720" w:hanging="360"/>
      </w:pPr>
      <w:rPr>
        <w:rFonts w:ascii="Calibri" w:eastAsiaTheme="majorEastAsia"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83415A4"/>
    <w:multiLevelType w:val="multilevel"/>
    <w:tmpl w:val="F3441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A6A6BF6"/>
    <w:multiLevelType w:val="hybridMultilevel"/>
    <w:tmpl w:val="18CC96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0" w15:restartNumberingAfterBreak="0">
    <w:nsid w:val="5AEA1A4C"/>
    <w:multiLevelType w:val="hybridMultilevel"/>
    <w:tmpl w:val="0DDE402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1" w15:restartNumberingAfterBreak="0">
    <w:nsid w:val="5B313E36"/>
    <w:multiLevelType w:val="hybridMultilevel"/>
    <w:tmpl w:val="8884B03A"/>
    <w:lvl w:ilvl="0" w:tplc="449ECA5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BF332B2"/>
    <w:multiLevelType w:val="hybridMultilevel"/>
    <w:tmpl w:val="15407F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E187FDB"/>
    <w:multiLevelType w:val="multilevel"/>
    <w:tmpl w:val="73305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F063575"/>
    <w:multiLevelType w:val="hybridMultilevel"/>
    <w:tmpl w:val="1E60B4C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F102DFA"/>
    <w:multiLevelType w:val="hybridMultilevel"/>
    <w:tmpl w:val="0EA0932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5CC0D3E"/>
    <w:multiLevelType w:val="hybridMultilevel"/>
    <w:tmpl w:val="8A9C0B2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7" w15:restartNumberingAfterBreak="0">
    <w:nsid w:val="6C35060B"/>
    <w:multiLevelType w:val="multilevel"/>
    <w:tmpl w:val="1ECAA8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6F490E22"/>
    <w:multiLevelType w:val="hybridMultilevel"/>
    <w:tmpl w:val="00866B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5342404"/>
    <w:multiLevelType w:val="hybridMultilevel"/>
    <w:tmpl w:val="AA9EF5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0" w15:restartNumberingAfterBreak="0">
    <w:nsid w:val="75576184"/>
    <w:multiLevelType w:val="multilevel"/>
    <w:tmpl w:val="99C239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B734198"/>
    <w:multiLevelType w:val="hybridMultilevel"/>
    <w:tmpl w:val="4ED46A5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192408"/>
    <w:multiLevelType w:val="hybridMultilevel"/>
    <w:tmpl w:val="0FE046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CAC30BD"/>
    <w:multiLevelType w:val="hybridMultilevel"/>
    <w:tmpl w:val="EAD2420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414009893">
    <w:abstractNumId w:val="43"/>
  </w:num>
  <w:num w:numId="2" w16cid:durableId="883446721">
    <w:abstractNumId w:val="9"/>
  </w:num>
  <w:num w:numId="3" w16cid:durableId="1126043317">
    <w:abstractNumId w:val="5"/>
  </w:num>
  <w:num w:numId="4" w16cid:durableId="1505243525">
    <w:abstractNumId w:val="20"/>
  </w:num>
  <w:num w:numId="5" w16cid:durableId="1846358203">
    <w:abstractNumId w:val="29"/>
  </w:num>
  <w:num w:numId="6" w16cid:durableId="945620154">
    <w:abstractNumId w:val="39"/>
  </w:num>
  <w:num w:numId="7" w16cid:durableId="2093159950">
    <w:abstractNumId w:val="14"/>
  </w:num>
  <w:num w:numId="8" w16cid:durableId="220332525">
    <w:abstractNumId w:val="36"/>
  </w:num>
  <w:num w:numId="9" w16cid:durableId="1710565694">
    <w:abstractNumId w:val="30"/>
  </w:num>
  <w:num w:numId="10" w16cid:durableId="2024041724">
    <w:abstractNumId w:val="11"/>
  </w:num>
  <w:num w:numId="11" w16cid:durableId="1371343026">
    <w:abstractNumId w:val="4"/>
  </w:num>
  <w:num w:numId="12" w16cid:durableId="1415467426">
    <w:abstractNumId w:val="21"/>
  </w:num>
  <w:num w:numId="13" w16cid:durableId="266011499">
    <w:abstractNumId w:val="38"/>
  </w:num>
  <w:num w:numId="14" w16cid:durableId="923103097">
    <w:abstractNumId w:val="7"/>
  </w:num>
  <w:num w:numId="15" w16cid:durableId="1808014963">
    <w:abstractNumId w:val="10"/>
  </w:num>
  <w:num w:numId="16" w16cid:durableId="689993702">
    <w:abstractNumId w:val="1"/>
  </w:num>
  <w:num w:numId="17" w16cid:durableId="1794979363">
    <w:abstractNumId w:val="12"/>
  </w:num>
  <w:num w:numId="18" w16cid:durableId="1892956801">
    <w:abstractNumId w:val="0"/>
    <w:lvlOverride w:ilvl="0">
      <w:startOverride w:val="1"/>
    </w:lvlOverride>
  </w:num>
  <w:num w:numId="19" w16cid:durableId="862939783">
    <w:abstractNumId w:val="33"/>
    <w:lvlOverride w:ilvl="0">
      <w:startOverride w:val="1"/>
    </w:lvlOverride>
  </w:num>
  <w:num w:numId="20" w16cid:durableId="123893830">
    <w:abstractNumId w:val="40"/>
    <w:lvlOverride w:ilvl="0">
      <w:startOverride w:val="3"/>
    </w:lvlOverride>
  </w:num>
  <w:num w:numId="21" w16cid:durableId="622462014">
    <w:abstractNumId w:val="28"/>
    <w:lvlOverride w:ilvl="0">
      <w:startOverride w:val="1"/>
    </w:lvlOverride>
  </w:num>
  <w:num w:numId="22" w16cid:durableId="740639373">
    <w:abstractNumId w:val="37"/>
    <w:lvlOverride w:ilvl="0">
      <w:startOverride w:val="5"/>
    </w:lvlOverride>
  </w:num>
  <w:num w:numId="23" w16cid:durableId="497619832">
    <w:abstractNumId w:val="2"/>
  </w:num>
  <w:num w:numId="24" w16cid:durableId="1707412068">
    <w:abstractNumId w:val="35"/>
  </w:num>
  <w:num w:numId="25" w16cid:durableId="364409896">
    <w:abstractNumId w:val="32"/>
  </w:num>
  <w:num w:numId="26" w16cid:durableId="1860466570">
    <w:abstractNumId w:val="8"/>
  </w:num>
  <w:num w:numId="27" w16cid:durableId="647368334">
    <w:abstractNumId w:val="16"/>
  </w:num>
  <w:num w:numId="28" w16cid:durableId="1440025114">
    <w:abstractNumId w:val="23"/>
  </w:num>
  <w:num w:numId="29" w16cid:durableId="1336617423">
    <w:abstractNumId w:val="25"/>
  </w:num>
  <w:num w:numId="30" w16cid:durableId="677275468">
    <w:abstractNumId w:val="31"/>
  </w:num>
  <w:num w:numId="31" w16cid:durableId="1943032587">
    <w:abstractNumId w:val="42"/>
  </w:num>
  <w:num w:numId="32" w16cid:durableId="1017315576">
    <w:abstractNumId w:val="24"/>
  </w:num>
  <w:num w:numId="33" w16cid:durableId="447630170">
    <w:abstractNumId w:val="19"/>
  </w:num>
  <w:num w:numId="34" w16cid:durableId="1218204857">
    <w:abstractNumId w:val="34"/>
  </w:num>
  <w:num w:numId="35" w16cid:durableId="2087996261">
    <w:abstractNumId w:val="22"/>
  </w:num>
  <w:num w:numId="36" w16cid:durableId="923146250">
    <w:abstractNumId w:val="6"/>
  </w:num>
  <w:num w:numId="37" w16cid:durableId="955336459">
    <w:abstractNumId w:val="26"/>
  </w:num>
  <w:num w:numId="38" w16cid:durableId="1695887296">
    <w:abstractNumId w:val="17"/>
  </w:num>
  <w:num w:numId="39" w16cid:durableId="623464732">
    <w:abstractNumId w:val="15"/>
  </w:num>
  <w:num w:numId="40" w16cid:durableId="1588420982">
    <w:abstractNumId w:val="18"/>
  </w:num>
  <w:num w:numId="41" w16cid:durableId="1986157279">
    <w:abstractNumId w:val="3"/>
  </w:num>
  <w:num w:numId="42" w16cid:durableId="1737314760">
    <w:abstractNumId w:val="27"/>
  </w:num>
  <w:num w:numId="43" w16cid:durableId="282538718">
    <w:abstractNumId w:val="13"/>
  </w:num>
  <w:num w:numId="44" w16cid:durableId="1480804279">
    <w:abstractNumId w:val="4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ajdin Miloš">
    <w15:presenceInfo w15:providerId="AD" w15:userId="S::milos.hajdin@vlada.gov.sk::759f1be0-e977-43c1-ac05-b2a2fc5a7145"/>
  </w15:person>
  <w15:person w15:author="Bédiová Jana">
    <w15:presenceInfo w15:providerId="AD" w15:userId="S::jana.bediova@vlada.gov.sk::bdf4505b-8523-4062-9378-b3db2dd7f1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423"/>
    <w:rsid w:val="00032681"/>
    <w:rsid w:val="00034398"/>
    <w:rsid w:val="000371DB"/>
    <w:rsid w:val="00053747"/>
    <w:rsid w:val="00075EFF"/>
    <w:rsid w:val="000938CB"/>
    <w:rsid w:val="000A7A0D"/>
    <w:rsid w:val="000B607B"/>
    <w:rsid w:val="000C781B"/>
    <w:rsid w:val="000D2B41"/>
    <w:rsid w:val="00115F92"/>
    <w:rsid w:val="00124FA8"/>
    <w:rsid w:val="00125FCC"/>
    <w:rsid w:val="00133DF8"/>
    <w:rsid w:val="00142AEC"/>
    <w:rsid w:val="00167D0C"/>
    <w:rsid w:val="00170D1A"/>
    <w:rsid w:val="00196B3B"/>
    <w:rsid w:val="001A0299"/>
    <w:rsid w:val="001A4BAF"/>
    <w:rsid w:val="001A5CCE"/>
    <w:rsid w:val="001B673D"/>
    <w:rsid w:val="001F118B"/>
    <w:rsid w:val="001F2C66"/>
    <w:rsid w:val="00201897"/>
    <w:rsid w:val="0021695B"/>
    <w:rsid w:val="00217492"/>
    <w:rsid w:val="002323ED"/>
    <w:rsid w:val="0023240C"/>
    <w:rsid w:val="002425B7"/>
    <w:rsid w:val="002465AC"/>
    <w:rsid w:val="00256022"/>
    <w:rsid w:val="002623A6"/>
    <w:rsid w:val="002640B8"/>
    <w:rsid w:val="00270571"/>
    <w:rsid w:val="002B2494"/>
    <w:rsid w:val="002B4423"/>
    <w:rsid w:val="002C0FDC"/>
    <w:rsid w:val="002C4F82"/>
    <w:rsid w:val="002D07F3"/>
    <w:rsid w:val="002F463E"/>
    <w:rsid w:val="002F5E5E"/>
    <w:rsid w:val="00352E86"/>
    <w:rsid w:val="00360F54"/>
    <w:rsid w:val="0037409A"/>
    <w:rsid w:val="003955BC"/>
    <w:rsid w:val="003A24D5"/>
    <w:rsid w:val="003B28FB"/>
    <w:rsid w:val="003B767B"/>
    <w:rsid w:val="003C0DDA"/>
    <w:rsid w:val="003C6A10"/>
    <w:rsid w:val="003D2EFB"/>
    <w:rsid w:val="003D66E7"/>
    <w:rsid w:val="003E113F"/>
    <w:rsid w:val="003E5937"/>
    <w:rsid w:val="003E5E78"/>
    <w:rsid w:val="003F5B57"/>
    <w:rsid w:val="00401874"/>
    <w:rsid w:val="00404154"/>
    <w:rsid w:val="00420B51"/>
    <w:rsid w:val="004248EC"/>
    <w:rsid w:val="00427BEB"/>
    <w:rsid w:val="00461480"/>
    <w:rsid w:val="004A1B42"/>
    <w:rsid w:val="004A5B5C"/>
    <w:rsid w:val="004A6038"/>
    <w:rsid w:val="004B777A"/>
    <w:rsid w:val="004C494E"/>
    <w:rsid w:val="004D20E1"/>
    <w:rsid w:val="005132F0"/>
    <w:rsid w:val="005363CE"/>
    <w:rsid w:val="00544F55"/>
    <w:rsid w:val="00545B1F"/>
    <w:rsid w:val="0056557D"/>
    <w:rsid w:val="005759CF"/>
    <w:rsid w:val="00580E57"/>
    <w:rsid w:val="005845AB"/>
    <w:rsid w:val="00585672"/>
    <w:rsid w:val="00596C7D"/>
    <w:rsid w:val="005B25E0"/>
    <w:rsid w:val="005B4D88"/>
    <w:rsid w:val="005B53A5"/>
    <w:rsid w:val="005D1344"/>
    <w:rsid w:val="005E6FCA"/>
    <w:rsid w:val="005F23F2"/>
    <w:rsid w:val="005F7BA9"/>
    <w:rsid w:val="006009F9"/>
    <w:rsid w:val="006028CC"/>
    <w:rsid w:val="00611E80"/>
    <w:rsid w:val="006326ED"/>
    <w:rsid w:val="006422F3"/>
    <w:rsid w:val="00657AAB"/>
    <w:rsid w:val="00663548"/>
    <w:rsid w:val="00681C82"/>
    <w:rsid w:val="00683EA0"/>
    <w:rsid w:val="00693C3F"/>
    <w:rsid w:val="006A643B"/>
    <w:rsid w:val="006B1EB0"/>
    <w:rsid w:val="006D2DF7"/>
    <w:rsid w:val="006F0ED9"/>
    <w:rsid w:val="006F13B7"/>
    <w:rsid w:val="007420EF"/>
    <w:rsid w:val="007516BB"/>
    <w:rsid w:val="00781644"/>
    <w:rsid w:val="00791E0E"/>
    <w:rsid w:val="00797BE8"/>
    <w:rsid w:val="00797D23"/>
    <w:rsid w:val="007B6423"/>
    <w:rsid w:val="007D3803"/>
    <w:rsid w:val="007E2323"/>
    <w:rsid w:val="007E434B"/>
    <w:rsid w:val="007F6408"/>
    <w:rsid w:val="00800E13"/>
    <w:rsid w:val="00802AA3"/>
    <w:rsid w:val="00803130"/>
    <w:rsid w:val="00803AE7"/>
    <w:rsid w:val="00842AE2"/>
    <w:rsid w:val="008606DF"/>
    <w:rsid w:val="008633D9"/>
    <w:rsid w:val="008648D2"/>
    <w:rsid w:val="00866302"/>
    <w:rsid w:val="008769EA"/>
    <w:rsid w:val="008819C9"/>
    <w:rsid w:val="008A0D6F"/>
    <w:rsid w:val="008A745C"/>
    <w:rsid w:val="008A7871"/>
    <w:rsid w:val="008B0023"/>
    <w:rsid w:val="008B399B"/>
    <w:rsid w:val="008C11E2"/>
    <w:rsid w:val="008D415A"/>
    <w:rsid w:val="008E7BFA"/>
    <w:rsid w:val="0091288A"/>
    <w:rsid w:val="00913E9C"/>
    <w:rsid w:val="0092388A"/>
    <w:rsid w:val="00925B1F"/>
    <w:rsid w:val="00946617"/>
    <w:rsid w:val="00952D48"/>
    <w:rsid w:val="00970EA3"/>
    <w:rsid w:val="00976999"/>
    <w:rsid w:val="0098271E"/>
    <w:rsid w:val="0098629E"/>
    <w:rsid w:val="009906FE"/>
    <w:rsid w:val="00990AC0"/>
    <w:rsid w:val="009935DE"/>
    <w:rsid w:val="009A091D"/>
    <w:rsid w:val="009A24E7"/>
    <w:rsid w:val="009B0B1E"/>
    <w:rsid w:val="009B1E7E"/>
    <w:rsid w:val="009B2959"/>
    <w:rsid w:val="009B7FAE"/>
    <w:rsid w:val="009C3F68"/>
    <w:rsid w:val="009D3180"/>
    <w:rsid w:val="009D32E3"/>
    <w:rsid w:val="009D4652"/>
    <w:rsid w:val="009D6E7C"/>
    <w:rsid w:val="009D7F08"/>
    <w:rsid w:val="009E325F"/>
    <w:rsid w:val="00A03605"/>
    <w:rsid w:val="00A17E10"/>
    <w:rsid w:val="00A212C4"/>
    <w:rsid w:val="00A349E9"/>
    <w:rsid w:val="00A34CF9"/>
    <w:rsid w:val="00A37F71"/>
    <w:rsid w:val="00A41967"/>
    <w:rsid w:val="00A421E5"/>
    <w:rsid w:val="00A447B3"/>
    <w:rsid w:val="00A44B43"/>
    <w:rsid w:val="00A461AF"/>
    <w:rsid w:val="00A61A11"/>
    <w:rsid w:val="00A72613"/>
    <w:rsid w:val="00A73CD1"/>
    <w:rsid w:val="00AD012F"/>
    <w:rsid w:val="00AD47C6"/>
    <w:rsid w:val="00AF1B5C"/>
    <w:rsid w:val="00B0136F"/>
    <w:rsid w:val="00B20544"/>
    <w:rsid w:val="00B22444"/>
    <w:rsid w:val="00B254D1"/>
    <w:rsid w:val="00B273E5"/>
    <w:rsid w:val="00B32B64"/>
    <w:rsid w:val="00B34A07"/>
    <w:rsid w:val="00B41FC2"/>
    <w:rsid w:val="00B42A0A"/>
    <w:rsid w:val="00B50BC7"/>
    <w:rsid w:val="00B766C7"/>
    <w:rsid w:val="00B87252"/>
    <w:rsid w:val="00BA024E"/>
    <w:rsid w:val="00BB777A"/>
    <w:rsid w:val="00BC3D8B"/>
    <w:rsid w:val="00BF1280"/>
    <w:rsid w:val="00BF3187"/>
    <w:rsid w:val="00BF697D"/>
    <w:rsid w:val="00C00F15"/>
    <w:rsid w:val="00C03F70"/>
    <w:rsid w:val="00C16057"/>
    <w:rsid w:val="00C16452"/>
    <w:rsid w:val="00C21040"/>
    <w:rsid w:val="00C262F8"/>
    <w:rsid w:val="00C273D0"/>
    <w:rsid w:val="00C33945"/>
    <w:rsid w:val="00C34026"/>
    <w:rsid w:val="00C34252"/>
    <w:rsid w:val="00C353D2"/>
    <w:rsid w:val="00C37982"/>
    <w:rsid w:val="00C4558D"/>
    <w:rsid w:val="00C572E0"/>
    <w:rsid w:val="00C60251"/>
    <w:rsid w:val="00C806B3"/>
    <w:rsid w:val="00C84B53"/>
    <w:rsid w:val="00C9307E"/>
    <w:rsid w:val="00C94100"/>
    <w:rsid w:val="00C95D9D"/>
    <w:rsid w:val="00C9601D"/>
    <w:rsid w:val="00CA13E5"/>
    <w:rsid w:val="00CA4169"/>
    <w:rsid w:val="00CA7148"/>
    <w:rsid w:val="00CB00FA"/>
    <w:rsid w:val="00CB05C4"/>
    <w:rsid w:val="00CB30DA"/>
    <w:rsid w:val="00CB5B2E"/>
    <w:rsid w:val="00CD2129"/>
    <w:rsid w:val="00CF7B00"/>
    <w:rsid w:val="00D0068A"/>
    <w:rsid w:val="00D023B8"/>
    <w:rsid w:val="00D06F15"/>
    <w:rsid w:val="00D133FD"/>
    <w:rsid w:val="00D16A0E"/>
    <w:rsid w:val="00D23BA0"/>
    <w:rsid w:val="00D309B2"/>
    <w:rsid w:val="00D44C11"/>
    <w:rsid w:val="00D70B13"/>
    <w:rsid w:val="00D70FCD"/>
    <w:rsid w:val="00D916EB"/>
    <w:rsid w:val="00DB75B7"/>
    <w:rsid w:val="00DC1726"/>
    <w:rsid w:val="00DC38DC"/>
    <w:rsid w:val="00DC4AF0"/>
    <w:rsid w:val="00DD3CAF"/>
    <w:rsid w:val="00DD7F69"/>
    <w:rsid w:val="00E01F32"/>
    <w:rsid w:val="00E10749"/>
    <w:rsid w:val="00E169DD"/>
    <w:rsid w:val="00E208AE"/>
    <w:rsid w:val="00E23AF7"/>
    <w:rsid w:val="00E37394"/>
    <w:rsid w:val="00E52B0F"/>
    <w:rsid w:val="00E75044"/>
    <w:rsid w:val="00E82512"/>
    <w:rsid w:val="00E8397F"/>
    <w:rsid w:val="00EA142C"/>
    <w:rsid w:val="00EA246D"/>
    <w:rsid w:val="00EB6119"/>
    <w:rsid w:val="00EC1150"/>
    <w:rsid w:val="00ED1AEE"/>
    <w:rsid w:val="00EE37B1"/>
    <w:rsid w:val="00F131DE"/>
    <w:rsid w:val="00F230D6"/>
    <w:rsid w:val="00F26C59"/>
    <w:rsid w:val="00F37D31"/>
    <w:rsid w:val="00F409E6"/>
    <w:rsid w:val="00F450B5"/>
    <w:rsid w:val="00F603C6"/>
    <w:rsid w:val="00F60B83"/>
    <w:rsid w:val="00F64455"/>
    <w:rsid w:val="00F75F61"/>
    <w:rsid w:val="00F91E3D"/>
    <w:rsid w:val="00FA3287"/>
    <w:rsid w:val="00FC0C58"/>
    <w:rsid w:val="00FC1989"/>
    <w:rsid w:val="00FC5308"/>
    <w:rsid w:val="00FC53A3"/>
    <w:rsid w:val="00FE05A3"/>
    <w:rsid w:val="00FE71F5"/>
    <w:rsid w:val="00FE72C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2FA37D7F"/>
  <w15:chartTrackingRefBased/>
  <w15:docId w15:val="{CDF816BB-FCDD-4FD3-9250-F8EE1DAA2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B4423"/>
    <w:rPr>
      <w:kern w:val="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2B442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B4423"/>
  </w:style>
  <w:style w:type="paragraph" w:styleId="Pta">
    <w:name w:val="footer"/>
    <w:basedOn w:val="Normlny"/>
    <w:link w:val="PtaChar"/>
    <w:uiPriority w:val="99"/>
    <w:unhideWhenUsed/>
    <w:rsid w:val="002B4423"/>
    <w:pPr>
      <w:tabs>
        <w:tab w:val="center" w:pos="4536"/>
        <w:tab w:val="right" w:pos="9072"/>
      </w:tabs>
      <w:spacing w:after="0" w:line="240" w:lineRule="auto"/>
    </w:pPr>
  </w:style>
  <w:style w:type="character" w:customStyle="1" w:styleId="PtaChar">
    <w:name w:val="Päta Char"/>
    <w:basedOn w:val="Predvolenpsmoodseku"/>
    <w:link w:val="Pta"/>
    <w:uiPriority w:val="99"/>
    <w:rsid w:val="002B4423"/>
  </w:style>
  <w:style w:type="paragraph" w:customStyle="1" w:styleId="Default">
    <w:name w:val="Default"/>
    <w:rsid w:val="002B4423"/>
    <w:pPr>
      <w:autoSpaceDE w:val="0"/>
      <w:autoSpaceDN w:val="0"/>
      <w:adjustRightInd w:val="0"/>
      <w:spacing w:after="0" w:line="240" w:lineRule="auto"/>
    </w:pPr>
    <w:rPr>
      <w:rFonts w:ascii="Calibri" w:hAnsi="Calibri" w:cs="Calibri"/>
      <w:color w:val="000000"/>
      <w:sz w:val="24"/>
      <w:szCs w:val="24"/>
      <w14:ligatures w14:val="standardContextual"/>
    </w:rPr>
  </w:style>
  <w:style w:type="paragraph" w:styleId="Odsekzoznamu">
    <w:name w:val="List Paragraph"/>
    <w:aliases w:val="body,Odsek zoznamu2"/>
    <w:basedOn w:val="Normlny"/>
    <w:link w:val="OdsekzoznamuChar"/>
    <w:uiPriority w:val="99"/>
    <w:qFormat/>
    <w:rsid w:val="00C262F8"/>
    <w:pPr>
      <w:ind w:left="720"/>
      <w:contextualSpacing/>
    </w:pPr>
  </w:style>
  <w:style w:type="table" w:styleId="Mriekatabuky">
    <w:name w:val="Table Grid"/>
    <w:basedOn w:val="Normlnatabuka"/>
    <w:uiPriority w:val="39"/>
    <w:rsid w:val="009D6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unhideWhenUsed/>
    <w:qFormat/>
    <w:rsid w:val="009B2959"/>
    <w:pPr>
      <w:spacing w:after="0" w:line="240" w:lineRule="auto"/>
    </w:pPr>
    <w:rPr>
      <w:sz w:val="20"/>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qFormat/>
    <w:rsid w:val="009B2959"/>
    <w:rPr>
      <w:kern w:val="2"/>
      <w:sz w:val="20"/>
      <w:szCs w:val="20"/>
      <w14:ligatures w14:val="standardContextual"/>
    </w:rPr>
  </w:style>
  <w:style w:type="character" w:styleId="Odkaznapoznmkupodiarou">
    <w:name w:val="footnote reference"/>
    <w:aliases w:val="Footnote symbol,Footnote,Odkaz na poznámku pod čiarou1,Footnotes refss,Footnote Refernece,Footnote Refernece + (Latein) Arial,10 pt,Blau,Footnote reference number,note TESI,nota pié di pagina,Footnote Reference Superscript"/>
    <w:basedOn w:val="Predvolenpsmoodseku"/>
    <w:link w:val="FootnoteReferneceChar"/>
    <w:uiPriority w:val="99"/>
    <w:unhideWhenUsed/>
    <w:qFormat/>
    <w:rsid w:val="009B2959"/>
    <w:rPr>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lny"/>
    <w:link w:val="Odkaznapoznmkupodiarou"/>
    <w:uiPriority w:val="99"/>
    <w:rsid w:val="009B2959"/>
    <w:pPr>
      <w:spacing w:before="240" w:line="240" w:lineRule="exact"/>
    </w:pPr>
    <w:rPr>
      <w:kern w:val="0"/>
      <w:vertAlign w:val="superscript"/>
      <w14:ligatures w14:val="none"/>
    </w:rPr>
  </w:style>
  <w:style w:type="character" w:customStyle="1" w:styleId="OdsekzoznamuChar">
    <w:name w:val="Odsek zoznamu Char"/>
    <w:aliases w:val="body Char,Odsek zoznamu2 Char"/>
    <w:link w:val="Odsekzoznamu"/>
    <w:uiPriority w:val="99"/>
    <w:locked/>
    <w:rsid w:val="001F2C66"/>
    <w:rPr>
      <w:kern w:val="2"/>
      <w14:ligatures w14:val="standardContextual"/>
    </w:rPr>
  </w:style>
  <w:style w:type="paragraph" w:styleId="Revzia">
    <w:name w:val="Revision"/>
    <w:hidden/>
    <w:uiPriority w:val="99"/>
    <w:semiHidden/>
    <w:rsid w:val="00611E80"/>
    <w:pPr>
      <w:spacing w:after="0" w:line="240" w:lineRule="auto"/>
    </w:pPr>
    <w:rPr>
      <w:kern w:val="2"/>
      <w14:ligatures w14:val="standardContextual"/>
    </w:rPr>
  </w:style>
  <w:style w:type="paragraph" w:styleId="Textbubliny">
    <w:name w:val="Balloon Text"/>
    <w:basedOn w:val="Normlny"/>
    <w:link w:val="TextbublinyChar"/>
    <w:uiPriority w:val="99"/>
    <w:semiHidden/>
    <w:unhideWhenUsed/>
    <w:rsid w:val="006F0ED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F0ED9"/>
    <w:rPr>
      <w:rFonts w:ascii="Segoe UI" w:hAnsi="Segoe UI" w:cs="Segoe UI"/>
      <w:kern w:val="2"/>
      <w:sz w:val="18"/>
      <w:szCs w:val="18"/>
      <w14:ligatures w14:val="standardContextual"/>
    </w:rPr>
  </w:style>
  <w:style w:type="character" w:styleId="Odkaznakomentr">
    <w:name w:val="annotation reference"/>
    <w:basedOn w:val="Predvolenpsmoodseku"/>
    <w:uiPriority w:val="99"/>
    <w:semiHidden/>
    <w:unhideWhenUsed/>
    <w:rsid w:val="00A73CD1"/>
    <w:rPr>
      <w:sz w:val="16"/>
      <w:szCs w:val="16"/>
    </w:rPr>
  </w:style>
  <w:style w:type="paragraph" w:styleId="Textkomentra">
    <w:name w:val="annotation text"/>
    <w:basedOn w:val="Normlny"/>
    <w:link w:val="TextkomentraChar"/>
    <w:uiPriority w:val="99"/>
    <w:unhideWhenUsed/>
    <w:rsid w:val="00A73CD1"/>
    <w:pPr>
      <w:spacing w:line="240" w:lineRule="auto"/>
    </w:pPr>
    <w:rPr>
      <w:sz w:val="20"/>
      <w:szCs w:val="20"/>
    </w:rPr>
  </w:style>
  <w:style w:type="character" w:customStyle="1" w:styleId="TextkomentraChar">
    <w:name w:val="Text komentára Char"/>
    <w:basedOn w:val="Predvolenpsmoodseku"/>
    <w:link w:val="Textkomentra"/>
    <w:uiPriority w:val="99"/>
    <w:rsid w:val="00A73CD1"/>
    <w:rPr>
      <w:kern w:val="2"/>
      <w:sz w:val="20"/>
      <w:szCs w:val="20"/>
      <w14:ligatures w14:val="standardContextual"/>
    </w:rPr>
  </w:style>
  <w:style w:type="paragraph" w:styleId="Predmetkomentra">
    <w:name w:val="annotation subject"/>
    <w:basedOn w:val="Textkomentra"/>
    <w:next w:val="Textkomentra"/>
    <w:link w:val="PredmetkomentraChar"/>
    <w:uiPriority w:val="99"/>
    <w:semiHidden/>
    <w:unhideWhenUsed/>
    <w:rsid w:val="00A73CD1"/>
    <w:rPr>
      <w:b/>
      <w:bCs/>
    </w:rPr>
  </w:style>
  <w:style w:type="character" w:customStyle="1" w:styleId="PredmetkomentraChar">
    <w:name w:val="Predmet komentára Char"/>
    <w:basedOn w:val="TextkomentraChar"/>
    <w:link w:val="Predmetkomentra"/>
    <w:uiPriority w:val="99"/>
    <w:semiHidden/>
    <w:rsid w:val="00A73CD1"/>
    <w:rPr>
      <w:b/>
      <w:bCs/>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056507">
      <w:bodyDiv w:val="1"/>
      <w:marLeft w:val="0"/>
      <w:marRight w:val="0"/>
      <w:marTop w:val="0"/>
      <w:marBottom w:val="0"/>
      <w:divBdr>
        <w:top w:val="none" w:sz="0" w:space="0" w:color="auto"/>
        <w:left w:val="none" w:sz="0" w:space="0" w:color="auto"/>
        <w:bottom w:val="none" w:sz="0" w:space="0" w:color="auto"/>
        <w:right w:val="none" w:sz="0" w:space="0" w:color="auto"/>
      </w:divBdr>
    </w:div>
    <w:div w:id="361247925">
      <w:bodyDiv w:val="1"/>
      <w:marLeft w:val="0"/>
      <w:marRight w:val="0"/>
      <w:marTop w:val="0"/>
      <w:marBottom w:val="0"/>
      <w:divBdr>
        <w:top w:val="none" w:sz="0" w:space="0" w:color="auto"/>
        <w:left w:val="none" w:sz="0" w:space="0" w:color="auto"/>
        <w:bottom w:val="none" w:sz="0" w:space="0" w:color="auto"/>
        <w:right w:val="none" w:sz="0" w:space="0" w:color="auto"/>
      </w:divBdr>
    </w:div>
    <w:div w:id="670761515">
      <w:bodyDiv w:val="1"/>
      <w:marLeft w:val="0"/>
      <w:marRight w:val="0"/>
      <w:marTop w:val="0"/>
      <w:marBottom w:val="0"/>
      <w:divBdr>
        <w:top w:val="none" w:sz="0" w:space="0" w:color="auto"/>
        <w:left w:val="none" w:sz="0" w:space="0" w:color="auto"/>
        <w:bottom w:val="none" w:sz="0" w:space="0" w:color="auto"/>
        <w:right w:val="none" w:sz="0" w:space="0" w:color="auto"/>
      </w:divBdr>
    </w:div>
    <w:div w:id="673652255">
      <w:bodyDiv w:val="1"/>
      <w:marLeft w:val="0"/>
      <w:marRight w:val="0"/>
      <w:marTop w:val="0"/>
      <w:marBottom w:val="0"/>
      <w:divBdr>
        <w:top w:val="none" w:sz="0" w:space="0" w:color="auto"/>
        <w:left w:val="none" w:sz="0" w:space="0" w:color="auto"/>
        <w:bottom w:val="none" w:sz="0" w:space="0" w:color="auto"/>
        <w:right w:val="none" w:sz="0" w:space="0" w:color="auto"/>
      </w:divBdr>
    </w:div>
    <w:div w:id="789666740">
      <w:bodyDiv w:val="1"/>
      <w:marLeft w:val="0"/>
      <w:marRight w:val="0"/>
      <w:marTop w:val="0"/>
      <w:marBottom w:val="0"/>
      <w:divBdr>
        <w:top w:val="none" w:sz="0" w:space="0" w:color="auto"/>
        <w:left w:val="none" w:sz="0" w:space="0" w:color="auto"/>
        <w:bottom w:val="none" w:sz="0" w:space="0" w:color="auto"/>
        <w:right w:val="none" w:sz="0" w:space="0" w:color="auto"/>
      </w:divBdr>
    </w:div>
    <w:div w:id="1085810587">
      <w:bodyDiv w:val="1"/>
      <w:marLeft w:val="0"/>
      <w:marRight w:val="0"/>
      <w:marTop w:val="0"/>
      <w:marBottom w:val="0"/>
      <w:divBdr>
        <w:top w:val="none" w:sz="0" w:space="0" w:color="auto"/>
        <w:left w:val="none" w:sz="0" w:space="0" w:color="auto"/>
        <w:bottom w:val="none" w:sz="0" w:space="0" w:color="auto"/>
        <w:right w:val="none" w:sz="0" w:space="0" w:color="auto"/>
      </w:divBdr>
    </w:div>
    <w:div w:id="1361273224">
      <w:bodyDiv w:val="1"/>
      <w:marLeft w:val="0"/>
      <w:marRight w:val="0"/>
      <w:marTop w:val="0"/>
      <w:marBottom w:val="0"/>
      <w:divBdr>
        <w:top w:val="none" w:sz="0" w:space="0" w:color="auto"/>
        <w:left w:val="none" w:sz="0" w:space="0" w:color="auto"/>
        <w:bottom w:val="none" w:sz="0" w:space="0" w:color="auto"/>
        <w:right w:val="none" w:sz="0" w:space="0" w:color="auto"/>
      </w:divBdr>
    </w:div>
    <w:div w:id="1398938404">
      <w:bodyDiv w:val="1"/>
      <w:marLeft w:val="0"/>
      <w:marRight w:val="0"/>
      <w:marTop w:val="0"/>
      <w:marBottom w:val="0"/>
      <w:divBdr>
        <w:top w:val="none" w:sz="0" w:space="0" w:color="auto"/>
        <w:left w:val="none" w:sz="0" w:space="0" w:color="auto"/>
        <w:bottom w:val="none" w:sz="0" w:space="0" w:color="auto"/>
        <w:right w:val="none" w:sz="0" w:space="0" w:color="auto"/>
      </w:divBdr>
    </w:div>
    <w:div w:id="1485584100">
      <w:bodyDiv w:val="1"/>
      <w:marLeft w:val="0"/>
      <w:marRight w:val="0"/>
      <w:marTop w:val="0"/>
      <w:marBottom w:val="0"/>
      <w:divBdr>
        <w:top w:val="none" w:sz="0" w:space="0" w:color="auto"/>
        <w:left w:val="none" w:sz="0" w:space="0" w:color="auto"/>
        <w:bottom w:val="none" w:sz="0" w:space="0" w:color="auto"/>
        <w:right w:val="none" w:sz="0" w:space="0" w:color="auto"/>
      </w:divBdr>
    </w:div>
    <w:div w:id="1523587996">
      <w:bodyDiv w:val="1"/>
      <w:marLeft w:val="0"/>
      <w:marRight w:val="0"/>
      <w:marTop w:val="0"/>
      <w:marBottom w:val="0"/>
      <w:divBdr>
        <w:top w:val="none" w:sz="0" w:space="0" w:color="auto"/>
        <w:left w:val="none" w:sz="0" w:space="0" w:color="auto"/>
        <w:bottom w:val="none" w:sz="0" w:space="0" w:color="auto"/>
        <w:right w:val="none" w:sz="0" w:space="0" w:color="auto"/>
      </w:divBdr>
    </w:div>
    <w:div w:id="1591423985">
      <w:bodyDiv w:val="1"/>
      <w:marLeft w:val="0"/>
      <w:marRight w:val="0"/>
      <w:marTop w:val="0"/>
      <w:marBottom w:val="0"/>
      <w:divBdr>
        <w:top w:val="none" w:sz="0" w:space="0" w:color="auto"/>
        <w:left w:val="none" w:sz="0" w:space="0" w:color="auto"/>
        <w:bottom w:val="none" w:sz="0" w:space="0" w:color="auto"/>
        <w:right w:val="none" w:sz="0" w:space="0" w:color="auto"/>
      </w:divBdr>
    </w:div>
    <w:div w:id="173678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f8bc783d-2524-4b25-b0fc-db0ec06277c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E6F854793344947BCC8B9136DDFE857" ma:contentTypeVersion="15" ma:contentTypeDescription="Create a new document." ma:contentTypeScope="" ma:versionID="e8c9db6126f05a4b31ce1b065c33c5e7">
  <xsd:schema xmlns:xsd="http://www.w3.org/2001/XMLSchema" xmlns:xs="http://www.w3.org/2001/XMLSchema" xmlns:p="http://schemas.microsoft.com/office/2006/metadata/properties" xmlns:ns3="f8bc783d-2524-4b25-b0fc-db0ec06277c6" xmlns:ns4="8fd8afbf-a0e6-4ede-b10b-4f5199f671a0" targetNamespace="http://schemas.microsoft.com/office/2006/metadata/properties" ma:root="true" ma:fieldsID="583d9f4272def7d3819ef03880dd803f" ns3:_="" ns4:_="">
    <xsd:import namespace="f8bc783d-2524-4b25-b0fc-db0ec06277c6"/>
    <xsd:import namespace="8fd8afbf-a0e6-4ede-b10b-4f5199f671a0"/>
    <xsd:element name="properties">
      <xsd:complexType>
        <xsd:sequence>
          <xsd:element name="documentManagement">
            <xsd:complexType>
              <xsd:all>
                <xsd:element ref="ns3:_activity" minOccurs="0"/>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SearchPropertie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c783d-2524-4b25-b0fc-db0ec06277c6"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d8afbf-a0e6-4ede-b10b-4f5199f671a0"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A48B0F-F9F5-497B-9CC9-8EA656543659}">
  <ds:schemaRefs>
    <ds:schemaRef ds:uri="http://schemas.openxmlformats.org/officeDocument/2006/bibliography"/>
  </ds:schemaRefs>
</ds:datastoreItem>
</file>

<file path=customXml/itemProps2.xml><?xml version="1.0" encoding="utf-8"?>
<ds:datastoreItem xmlns:ds="http://schemas.openxmlformats.org/officeDocument/2006/customXml" ds:itemID="{AE5CD7A6-2C81-4262-84F5-783B5B64AE27}">
  <ds:schemaRefs>
    <ds:schemaRef ds:uri="8fd8afbf-a0e6-4ede-b10b-4f5199f671a0"/>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schemas.microsoft.com/office/infopath/2007/PartnerControls"/>
    <ds:schemaRef ds:uri="f8bc783d-2524-4b25-b0fc-db0ec06277c6"/>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8C33ACB0-BE0D-4BD0-93F8-3AA1EA28E664}">
  <ds:schemaRefs>
    <ds:schemaRef ds:uri="http://schemas.microsoft.com/sharepoint/v3/contenttype/forms"/>
  </ds:schemaRefs>
</ds:datastoreItem>
</file>

<file path=customXml/itemProps4.xml><?xml version="1.0" encoding="utf-8"?>
<ds:datastoreItem xmlns:ds="http://schemas.openxmlformats.org/officeDocument/2006/customXml" ds:itemID="{FFF94D03-C7B2-4C47-A9F7-D03DB5CA2A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bc783d-2524-4b25-b0fc-db0ec06277c6"/>
    <ds:schemaRef ds:uri="8fd8afbf-a0e6-4ede-b10b-4f5199f671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1350</TotalTime>
  <Pages>18</Pages>
  <Words>7342</Words>
  <Characters>41850</Characters>
  <Application>Microsoft Office Word</Application>
  <DocSecurity>0</DocSecurity>
  <Lines>348</Lines>
  <Paragraphs>98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Hajdin Miloš</dc:creator>
  <cp:keywords/>
  <dc:description/>
  <cp:lastModifiedBy>Bédiová Jana</cp:lastModifiedBy>
  <cp:revision>133</cp:revision>
  <cp:lastPrinted>2024-08-30T07:10:00Z</cp:lastPrinted>
  <dcterms:created xsi:type="dcterms:W3CDTF">2024-06-11T06:50:00Z</dcterms:created>
  <dcterms:modified xsi:type="dcterms:W3CDTF">2025-05-05T10:57:00Z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0x010100FE6F854793344947BCC8B9136DDFE857</vt:lpwstr>
  </property>
</Properties>
</file>